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80" w:before="0"/>
      </w:pPr>
      <w:r>
        <w:rPr>
          <w:rFonts w:ascii="Segoe UI" w:hAnsi="Segoe UI"/>
          <w:b/>
          <w:color w:val="5A9118"/>
          <w:sz w:val="18"/>
        </w:rPr>
        <w:t>FIȘĂ TEHNICĂ · SERIA PSM</w:t>
      </w:r>
    </w:p>
    <w:p>
      <w:pPr>
        <w:spacing w:after="120" w:before="40"/>
      </w:pPr>
      <w:r>
        <w:rPr>
          <w:rFonts w:ascii="Segoe UI" w:hAnsi="Segoe UI"/>
          <w:b/>
          <w:color w:val="33312D"/>
          <w:sz w:val="52"/>
        </w:rPr>
        <w:t>Skatepark Modular PSM16</w:t>
      </w:r>
    </w:p>
    <w:p>
      <w:pPr>
        <w:spacing w:after="200" w:before="0"/>
      </w:pPr>
      <w:r>
        <w:rPr>
          <w:rFonts w:ascii="Segoe UI" w:hAnsi="Segoe UI"/>
          <w:b w:val="0"/>
          <w:color w:val="75736D"/>
          <w:sz w:val="22"/>
        </w:rPr>
        <w:t>Configurație modulară gata-proiectată, certificată conform EN 14974 — distribuită și montată în România de Loftrek.</w:t>
      </w:r>
    </w:p>
    <w:tbl>
      <w:tblPr>
        <w:tblStyle w:val="LightGrid-Accent1"/>
        <w:tblW w:type="auto" w:w="0"/>
        <w:tblLook w:firstColumn="1" w:firstRow="1" w:lastColumn="0" w:lastRow="0" w:noHBand="0" w:noVBand="1" w:val="04A0"/>
      </w:tblPr>
      <w:tblGrid>
        <w:gridCol w:w="5100"/>
        <w:gridCol w:w="5100"/>
      </w:tblGrid>
      <w:tr>
        <w:tc>
          <w:tcPr>
            <w:tcW w:type="dxa" w:w="5100"/>
          </w:tcPr>
          <w:p>
            <w:r>
              <w:rPr>
                <w:rFonts w:ascii="Segoe UI" w:hAnsi="Segoe UI"/>
                <w:b/>
                <w:sz w:val="19"/>
              </w:rPr>
              <w:t>Cod TechRamps</w:t>
            </w:r>
          </w:p>
        </w:tc>
        <w:tc>
          <w:tcPr>
            <w:tcW w:type="dxa" w:w="5100"/>
          </w:tcPr>
          <w:p>
            <w:r>
              <w:rPr>
                <w:rFonts w:ascii="Segoe UI" w:hAnsi="Segoe UI"/>
                <w:sz w:val="19"/>
              </w:rPr>
              <w:t>PSM16</w:t>
            </w:r>
          </w:p>
        </w:tc>
      </w:tr>
      <w:tr>
        <w:tc>
          <w:tcPr>
            <w:tcW w:type="dxa" w:w="5100"/>
          </w:tcPr>
          <w:p>
            <w:r>
              <w:rPr>
                <w:rFonts w:ascii="Segoe UI" w:hAnsi="Segoe UI"/>
                <w:b/>
                <w:sz w:val="19"/>
              </w:rPr>
              <w:t>Suprafață recomandată</w:t>
            </w:r>
          </w:p>
        </w:tc>
        <w:tc>
          <w:tcPr>
            <w:tcW w:type="dxa" w:w="5100"/>
          </w:tcPr>
          <w:p>
            <w:r>
              <w:rPr>
                <w:rFonts w:ascii="Segoe UI" w:hAnsi="Segoe UI"/>
                <w:sz w:val="19"/>
              </w:rPr>
              <w:t>33 × 29 m</w:t>
            </w:r>
          </w:p>
        </w:tc>
      </w:tr>
      <w:tr>
        <w:tc>
          <w:tcPr>
            <w:tcW w:type="dxa" w:w="5100"/>
          </w:tcPr>
          <w:p>
            <w:r>
              <w:rPr>
                <w:rFonts w:ascii="Segoe UI" w:hAnsi="Segoe UI"/>
                <w:b/>
                <w:sz w:val="19"/>
              </w:rPr>
              <w:t>Echipamente</w:t>
            </w:r>
          </w:p>
        </w:tc>
        <w:tc>
          <w:tcPr>
            <w:tcW w:type="dxa" w:w="5100"/>
          </w:tcPr>
          <w:p>
            <w:r>
              <w:rPr>
                <w:rFonts w:ascii="Segoe UI" w:hAnsi="Segoe UI"/>
                <w:sz w:val="19"/>
              </w:rPr>
              <w:t>7 elemente</w:t>
            </w:r>
          </w:p>
        </w:tc>
      </w:tr>
      <w:tr>
        <w:tc>
          <w:tcPr>
            <w:tcW w:type="dxa" w:w="5100"/>
          </w:tcPr>
          <w:p>
            <w:r>
              <w:rPr>
                <w:rFonts w:ascii="Segoe UI" w:hAnsi="Segoe UI"/>
                <w:b/>
                <w:sz w:val="19"/>
              </w:rPr>
              <w:t>Tehnologie</w:t>
            </w:r>
          </w:p>
        </w:tc>
        <w:tc>
          <w:tcPr>
            <w:tcW w:type="dxa" w:w="5100"/>
          </w:tcPr>
          <w:p>
            <w:r>
              <w:rPr>
                <w:rFonts w:ascii="Segoe UI" w:hAnsi="Segoe UI"/>
                <w:sz w:val="19"/>
              </w:rPr>
              <w:t>Prestige · suprafață RampLine</w:t>
            </w:r>
          </w:p>
        </w:tc>
      </w:tr>
      <w:tr>
        <w:tc>
          <w:tcPr>
            <w:tcW w:type="dxa" w:w="5100"/>
          </w:tcPr>
          <w:p>
            <w:r>
              <w:rPr>
                <w:rFonts w:ascii="Segoe UI" w:hAnsi="Segoe UI"/>
                <w:b/>
                <w:sz w:val="19"/>
              </w:rPr>
              <w:t>Certificare</w:t>
            </w:r>
          </w:p>
        </w:tc>
        <w:tc>
          <w:tcPr>
            <w:tcW w:type="dxa" w:w="5100"/>
          </w:tcPr>
          <w:p>
            <w:r>
              <w:rPr>
                <w:rFonts w:ascii="Segoe UI" w:hAnsi="Segoe UI"/>
                <w:sz w:val="19"/>
              </w:rPr>
              <w:t>Conform EN 14974</w:t>
            </w:r>
          </w:p>
        </w:tc>
      </w:tr>
      <w:tr>
        <w:tc>
          <w:tcPr>
            <w:tcW w:type="dxa" w:w="5100"/>
          </w:tcPr>
          <w:p>
            <w:r>
              <w:rPr>
                <w:rFonts w:ascii="Segoe UI" w:hAnsi="Segoe UI"/>
                <w:b/>
                <w:sz w:val="19"/>
              </w:rPr>
              <w:t>Producător</w:t>
            </w:r>
          </w:p>
        </w:tc>
        <w:tc>
          <w:tcPr>
            <w:tcW w:type="dxa" w:w="5100"/>
          </w:tcPr>
          <w:p>
            <w:r>
              <w:rPr>
                <w:rFonts w:ascii="Segoe UI" w:hAnsi="Segoe UI"/>
                <w:sz w:val="19"/>
              </w:rPr>
              <w:t>TechRamps (Polonia)</w:t>
            </w:r>
          </w:p>
        </w:tc>
      </w:tr>
      <w:tr>
        <w:tc>
          <w:tcPr>
            <w:tcW w:type="dxa" w:w="5100"/>
          </w:tcPr>
          <w:p>
            <w:r>
              <w:rPr>
                <w:rFonts w:ascii="Segoe UI" w:hAnsi="Segoe UI"/>
                <w:b/>
                <w:sz w:val="19"/>
              </w:rPr>
              <w:t>Distribuitor România</w:t>
            </w:r>
          </w:p>
        </w:tc>
        <w:tc>
          <w:tcPr>
            <w:tcW w:type="dxa" w:w="5100"/>
          </w:tcPr>
          <w:p>
            <w:r>
              <w:rPr>
                <w:rFonts w:ascii="Segoe UI" w:hAnsi="Segoe UI"/>
                <w:sz w:val="19"/>
              </w:rPr>
              <w:t>Loftrek SRL</w:t>
            </w:r>
          </w:p>
        </w:tc>
      </w:tr>
    </w:tbl>
    <w:p>
      <w:r>
        <w:br w:type="page"/>
      </w:r>
    </w:p>
    <w:p>
      <w:pPr>
        <w:spacing w:after="100" w:before="200"/>
      </w:pPr>
      <w:r>
        <w:rPr>
          <w:rFonts w:ascii="Segoe UI" w:hAnsi="Segoe UI"/>
          <w:b/>
          <w:color w:val="33312D"/>
          <w:sz w:val="32"/>
        </w:rPr>
        <w:t>Echipamentele incluse</w:t>
      </w:r>
    </w:p>
    <w:p>
      <w:pPr>
        <w:spacing w:after="100" w:before="80"/>
      </w:pPr>
      <w:r>
        <w:rPr>
          <w:rFonts w:ascii="Segoe UI" w:hAnsi="Segoe UI"/>
          <w:b/>
          <w:color w:val="33312D"/>
          <w:sz w:val="26"/>
        </w:rPr>
        <w:t>Echipament nr. 1 - Quarter Pipe + Bank Ramp</w:t>
      </w:r>
    </w:p>
    <w:p>
      <w:pPr>
        <w:jc w:val="center"/>
      </w:pPr>
      <w:r>
        <w:drawing>
          <wp:inline xmlns:a="http://schemas.openxmlformats.org/drawingml/2006/main" xmlns:pic="http://schemas.openxmlformats.org/drawingml/2006/picture">
            <wp:extent cx="4206240" cy="3501120"/>
            <wp:docPr id="1" name="Picture 1"/>
            <wp:cNvGraphicFramePr>
              <a:graphicFrameLocks noChangeAspect="1"/>
            </wp:cNvGraphicFramePr>
            <a:graphic>
              <a:graphicData uri="http://schemas.openxmlformats.org/drawingml/2006/picture">
                <pic:pic>
                  <pic:nvPicPr>
                    <pic:cNvPr id="0" name="image.jpg"/>
                    <pic:cNvPicPr/>
                  </pic:nvPicPr>
                  <pic:blipFill>
                    <a:blip r:embed="rId11"/>
                    <a:stretch>
                      <a:fillRect/>
                    </a:stretch>
                  </pic:blipFill>
                  <pic:spPr>
                    <a:xfrm>
                      <a:off x="0" y="0"/>
                      <a:ext cx="4206240" cy="3501120"/>
                    </a:xfrm>
                    <a:prstGeom prst="rect"/>
                  </pic:spPr>
                </pic:pic>
              </a:graphicData>
            </a:graphic>
          </wp:inline>
        </w:drawing>
      </w:r>
    </w:p>
    <w:p>
      <w:pPr>
        <w:spacing w:after="20" w:before="0"/>
      </w:pPr>
      <w:r>
        <w:rPr>
          <w:rFonts w:ascii="Segoe UI" w:hAnsi="Segoe UI"/>
          <w:b/>
          <w:color w:val="5A9118"/>
          <w:sz w:val="18"/>
        </w:rPr>
        <w:t>Dimensiunile echipamentului</w:t>
      </w:r>
    </w:p>
    <w:p>
      <w:pPr>
        <w:spacing w:after="80" w:before="0"/>
      </w:pPr>
      <w:r>
        <w:rPr>
          <w:rFonts w:ascii="Segoe UI" w:hAnsi="Segoe UI"/>
          <w:b w:val="0"/>
          <w:color w:val="33312D"/>
          <w:sz w:val="20"/>
        </w:rPr>
        <w:t>416x610x150</w:t>
      </w:r>
    </w:p>
    <w:p>
      <w:pPr>
        <w:spacing w:after="20" w:before="0"/>
      </w:pPr>
      <w:r>
        <w:rPr>
          <w:rFonts w:ascii="Segoe UI" w:hAnsi="Segoe UI"/>
          <w:b/>
          <w:color w:val="5A9118"/>
          <w:sz w:val="18"/>
        </w:rPr>
        <w:t>Descrierea echipamentului</w:t>
      </w:r>
    </w:p>
    <w:p>
      <w:pPr>
        <w:spacing w:after="80" w:before="0"/>
      </w:pPr>
      <w:r>
        <w:rPr>
          <w:rFonts w:ascii="Segoe UI" w:hAnsi="Segoe UI"/>
          <w:b w:val="0"/>
          <w:color w:val="33312D"/>
          <w:sz w:val="20"/>
        </w:rPr>
        <w:t>Quarter Pipe + Bank Ramp – element de skatepark folosit pentru luarea avântului către obstacolele centrale ale skateparkului (funbox-uri,</w:t>
        <w:br/>
        <w:t>grindbox-uri, rail-uri). Este totodată un element pe care se execută diverse figuri. Acest echipament poate fi combinat formând un perete,</w:t>
        <w:br/>
        <w:t>completat suplimentar cu rail-uri, grindbox-uri și scări, datorită cărui fapt skateparkul devine un loc mult mai interesant. Quarter Pipe +</w:t>
        <w:br/>
        <w:t>Bank Ramp poate constitui și o componentă a unor platforme extinse. Echipamentul este destinat practicării pe skateboard, BMX,</w:t>
        <w:br/>
        <w:t>role și trotinetă.</w:t>
      </w:r>
    </w:p>
    <w:p>
      <w:pPr>
        <w:spacing w:after="20" w:before="0"/>
      </w:pPr>
      <w:r>
        <w:rPr>
          <w:rFonts w:ascii="Segoe UI" w:hAnsi="Segoe UI"/>
          <w:b/>
          <w:color w:val="5A9118"/>
          <w:sz w:val="18"/>
        </w:rPr>
        <w:t>Tehnologie</w:t>
      </w:r>
    </w:p>
    <w:p>
      <w:pPr>
        <w:spacing w:after="80" w:before="0"/>
      </w:pPr>
      <w:r>
        <w:rPr>
          <w:rFonts w:ascii="Segoe UI" w:hAnsi="Segoe UI"/>
          <w:b w:val="0"/>
          <w:color w:val="33312D"/>
          <w:sz w:val="20"/>
        </w:rPr>
        <w:t>Element modular realizat din placaj laminat 18 mm și grinzi din lemn. Stratul superior al elementului trebuie realizat din laminat de 6 mm în culoare deschisă, pentru a crește rezistența elementului de rulare. Toate placajele și covoarele de rulare trebuie debitate cu mașini cu comandă numerică CNC. Elementele metalice sunt realizate din oțel galvanizat. Specificația detaliată de execuție a elementului se găsește în partea ulterioară a documentației.</w:t>
      </w:r>
    </w:p>
    <w:p>
      <w:pPr>
        <w:spacing w:after="20" w:before="0"/>
      </w:pPr>
      <w:r>
        <w:rPr>
          <w:rFonts w:ascii="Segoe UI" w:hAnsi="Segoe UI"/>
          <w:b/>
          <w:color w:val="5A9118"/>
          <w:sz w:val="18"/>
        </w:rPr>
        <w:t>Siguranță</w:t>
      </w:r>
    </w:p>
    <w:p>
      <w:pPr>
        <w:spacing w:after="80" w:before="0"/>
      </w:pPr>
      <w:r>
        <w:rPr>
          <w:rFonts w:ascii="Segoe UI" w:hAnsi="Segoe UI"/>
          <w:b w:val="0"/>
          <w:color w:val="33312D"/>
          <w:sz w:val="20"/>
        </w:rPr>
        <w:t>Echipamentul trebuie să dețină certificat de conformitate cu norma PN-EN 14974:2019. Certificatul trebuie emis de un organism acreditat de Centrul Polonez de Acreditare. Certificatul furnizat de Executant trebuie să confirme controlul de siguranță al produsului și să includă monitorizarea producției de către un organism de testare independent și autorizat. Nu se admite prezentarea de avize tehnice emise de asociații sau experți, întrucât acestea nu sunt organisme abilitate să elibereze certificate care atestă conformitatea produsului cu norma. Nu se admite utilizarea HPL-ului negru, deoarece în perioadele de vară se încălzește la temperaturi ridicate. Achizitorul solicită furnizarea certificatelor împreună cu oferta.</w:t>
      </w:r>
    </w:p>
    <w:p>
      <w:r>
        <w:br w:type="page"/>
      </w:r>
    </w:p>
    <w:p>
      <w:pPr>
        <w:spacing w:after="100" w:before="80"/>
      </w:pPr>
      <w:r>
        <w:rPr>
          <w:rFonts w:ascii="Segoe UI" w:hAnsi="Segoe UI"/>
          <w:b/>
          <w:color w:val="33312D"/>
          <w:sz w:val="26"/>
        </w:rPr>
        <w:t>Echipament nr. 2 - Funbox</w:t>
      </w:r>
    </w:p>
    <w:p>
      <w:pPr>
        <w:jc w:val="center"/>
      </w:pPr>
      <w:r>
        <w:drawing>
          <wp:inline xmlns:a="http://schemas.openxmlformats.org/drawingml/2006/main" xmlns:pic="http://schemas.openxmlformats.org/drawingml/2006/picture">
            <wp:extent cx="4206240" cy="2552382"/>
            <wp:docPr id="2" name="Picture 2"/>
            <wp:cNvGraphicFramePr>
              <a:graphicFrameLocks noChangeAspect="1"/>
            </wp:cNvGraphicFramePr>
            <a:graphic>
              <a:graphicData uri="http://schemas.openxmlformats.org/drawingml/2006/picture">
                <pic:pic>
                  <pic:nvPicPr>
                    <pic:cNvPr id="0" name="image.jpg"/>
                    <pic:cNvPicPr/>
                  </pic:nvPicPr>
                  <pic:blipFill>
                    <a:blip r:embed="rId12"/>
                    <a:stretch>
                      <a:fillRect/>
                    </a:stretch>
                  </pic:blipFill>
                  <pic:spPr>
                    <a:xfrm>
                      <a:off x="0" y="0"/>
                      <a:ext cx="4206240" cy="2552382"/>
                    </a:xfrm>
                    <a:prstGeom prst="rect"/>
                  </pic:spPr>
                </pic:pic>
              </a:graphicData>
            </a:graphic>
          </wp:inline>
        </w:drawing>
      </w:r>
    </w:p>
    <w:p>
      <w:pPr>
        <w:spacing w:after="20" w:before="0"/>
      </w:pPr>
      <w:r>
        <w:rPr>
          <w:rFonts w:ascii="Segoe UI" w:hAnsi="Segoe UI"/>
          <w:b/>
          <w:color w:val="5A9118"/>
          <w:sz w:val="18"/>
        </w:rPr>
        <w:t>Dimensiunile echipamentului</w:t>
      </w:r>
    </w:p>
    <w:p>
      <w:pPr>
        <w:spacing w:after="80" w:before="0"/>
      </w:pPr>
      <w:r>
        <w:rPr>
          <w:rFonts w:ascii="Segoe UI" w:hAnsi="Segoe UI"/>
          <w:b w:val="0"/>
          <w:color w:val="33312D"/>
          <w:sz w:val="20"/>
        </w:rPr>
        <w:t>660x610x45</w:t>
      </w:r>
    </w:p>
    <w:p>
      <w:pPr>
        <w:spacing w:after="20" w:before="0"/>
      </w:pPr>
      <w:r>
        <w:rPr>
          <w:rFonts w:ascii="Segoe UI" w:hAnsi="Segoe UI"/>
          <w:b/>
          <w:color w:val="5A9118"/>
          <w:sz w:val="18"/>
        </w:rPr>
        <w:t>Descrierea echipamentului</w:t>
      </w:r>
    </w:p>
    <w:p>
      <w:pPr>
        <w:spacing w:after="80" w:before="0"/>
      </w:pPr>
      <w:r>
        <w:rPr>
          <w:rFonts w:ascii="Segoe UI" w:hAnsi="Segoe UI"/>
          <w:b w:val="0"/>
          <w:color w:val="33312D"/>
          <w:sz w:val="20"/>
        </w:rPr>
        <w:t>Funbox – este inima oricărui skatepark. Echipamentul include elemente suplimentare precum un rail și două grindbox-uri. Poate fi extins în</w:t>
        <w:br/>
        <w:t>orice mod, ceea ce oferă posibilități mai mari de a învăța figuri noi. Skateboarderii preferă un funbox cu cât mai multe</w:t>
        <w:br/>
        <w:t>combinații, în timp ce practicanții de BMX, rolerii și cei pe trotinetă preferă elementele mai înalte, care permit executarea de sărituri și salturi.</w:t>
        <w:br/>
        <w:t>Echipamentul este destinat practicării pe skateboard, BMX, role și trotinetă.</w:t>
      </w:r>
    </w:p>
    <w:p>
      <w:pPr>
        <w:spacing w:after="20" w:before="0"/>
      </w:pPr>
      <w:r>
        <w:rPr>
          <w:rFonts w:ascii="Segoe UI" w:hAnsi="Segoe UI"/>
          <w:b/>
          <w:color w:val="5A9118"/>
          <w:sz w:val="18"/>
        </w:rPr>
        <w:t>Tehnologie</w:t>
      </w:r>
    </w:p>
    <w:p>
      <w:pPr>
        <w:spacing w:after="80" w:before="0"/>
      </w:pPr>
      <w:r>
        <w:rPr>
          <w:rFonts w:ascii="Segoe UI" w:hAnsi="Segoe UI"/>
          <w:b w:val="0"/>
          <w:color w:val="33312D"/>
          <w:sz w:val="20"/>
        </w:rPr>
        <w:t>Element modular realizat din placaj laminat 18 mm și grinzi din lemn. Stratul superior al elementului trebuie realizat din laminat de 6 mm în culoare deschisă, pentru a crește rezistența elementului de rulare. Toate placajele și covoarele de rulare trebuie debitate cu mașini cu comandă numerică CNC. Elementele metalice sunt realizate din oțel galvanizat. Specificația detaliată de execuție a elementului se găsește în partea ulterioară a documentației.</w:t>
      </w:r>
    </w:p>
    <w:p>
      <w:pPr>
        <w:spacing w:after="20" w:before="0"/>
      </w:pPr>
      <w:r>
        <w:rPr>
          <w:rFonts w:ascii="Segoe UI" w:hAnsi="Segoe UI"/>
          <w:b/>
          <w:color w:val="5A9118"/>
          <w:sz w:val="18"/>
        </w:rPr>
        <w:t>Siguranță</w:t>
      </w:r>
    </w:p>
    <w:p>
      <w:pPr>
        <w:spacing w:after="80" w:before="0"/>
      </w:pPr>
      <w:r>
        <w:rPr>
          <w:rFonts w:ascii="Segoe UI" w:hAnsi="Segoe UI"/>
          <w:b w:val="0"/>
          <w:color w:val="33312D"/>
          <w:sz w:val="20"/>
        </w:rPr>
        <w:t>Echipamentul trebuie să dețină certificat de conformitate cu norma PN-EN 14974:2019. Certificatul trebuie emis de un organism acreditat de Centrul Polonez de Acreditare. Certificatul furnizat de Executant trebuie să confirme controlul de siguranță al produsului și să includă monitorizarea producției de către un organism de testare independent și autorizat. Nu se admite prezentarea de avize tehnice emise de asociații sau experți, întrucât acestea nu sunt organisme abilitate să elibereze certificate care atestă conformitatea produsului cu norma. Nu se admite utilizarea HPL-ului negru, deoarece în perioadele de vară se încălzește la temperaturi ridicate. Achizitorul solicită furnizarea certificatelor împreună cu oferta.</w:t>
      </w:r>
    </w:p>
    <w:p>
      <w:r>
        <w:br w:type="page"/>
      </w:r>
    </w:p>
    <w:p>
      <w:pPr>
        <w:spacing w:after="100" w:before="80"/>
      </w:pPr>
      <w:r>
        <w:rPr>
          <w:rFonts w:ascii="Segoe UI" w:hAnsi="Segoe UI"/>
          <w:b/>
          <w:color w:val="33312D"/>
          <w:sz w:val="26"/>
        </w:rPr>
        <w:t>Echipament nr. 3 - Bank Ramp piramidă + Quarter Pipe</w:t>
      </w:r>
    </w:p>
    <w:p>
      <w:pPr>
        <w:jc w:val="center"/>
      </w:pPr>
      <w:r>
        <w:drawing>
          <wp:inline xmlns:a="http://schemas.openxmlformats.org/drawingml/2006/main" xmlns:pic="http://schemas.openxmlformats.org/drawingml/2006/picture">
            <wp:extent cx="4206240" cy="3061422"/>
            <wp:docPr id="3" name="Picture 3"/>
            <wp:cNvGraphicFramePr>
              <a:graphicFrameLocks noChangeAspect="1"/>
            </wp:cNvGraphicFramePr>
            <a:graphic>
              <a:graphicData uri="http://schemas.openxmlformats.org/drawingml/2006/picture">
                <pic:pic>
                  <pic:nvPicPr>
                    <pic:cNvPr id="0" name="image.jpg"/>
                    <pic:cNvPicPr/>
                  </pic:nvPicPr>
                  <pic:blipFill>
                    <a:blip r:embed="rId13"/>
                    <a:stretch>
                      <a:fillRect/>
                    </a:stretch>
                  </pic:blipFill>
                  <pic:spPr>
                    <a:xfrm>
                      <a:off x="0" y="0"/>
                      <a:ext cx="4206240" cy="3061422"/>
                    </a:xfrm>
                    <a:prstGeom prst="rect"/>
                  </pic:spPr>
                </pic:pic>
              </a:graphicData>
            </a:graphic>
          </wp:inline>
        </w:drawing>
      </w:r>
    </w:p>
    <w:p>
      <w:pPr>
        <w:spacing w:after="20" w:before="0"/>
      </w:pPr>
      <w:r>
        <w:rPr>
          <w:rFonts w:ascii="Segoe UI" w:hAnsi="Segoe UI"/>
          <w:b/>
          <w:color w:val="5A9118"/>
          <w:sz w:val="18"/>
        </w:rPr>
        <w:t>Dimensiunile echipamentului</w:t>
      </w:r>
    </w:p>
    <w:p>
      <w:pPr>
        <w:spacing w:after="80" w:before="0"/>
      </w:pPr>
      <w:r>
        <w:rPr>
          <w:rFonts w:ascii="Segoe UI" w:hAnsi="Segoe UI"/>
          <w:b w:val="0"/>
          <w:color w:val="33312D"/>
          <w:sz w:val="20"/>
        </w:rPr>
        <w:t>538x904x150</w:t>
      </w:r>
    </w:p>
    <w:p>
      <w:pPr>
        <w:spacing w:after="20" w:before="0"/>
      </w:pPr>
      <w:r>
        <w:rPr>
          <w:rFonts w:ascii="Segoe UI" w:hAnsi="Segoe UI"/>
          <w:b/>
          <w:color w:val="5A9118"/>
          <w:sz w:val="18"/>
        </w:rPr>
        <w:t>Descrierea echipamentului</w:t>
      </w:r>
    </w:p>
    <w:p>
      <w:pPr>
        <w:spacing w:after="80" w:before="0"/>
      </w:pPr>
      <w:r>
        <w:rPr>
          <w:rFonts w:ascii="Segoe UI" w:hAnsi="Segoe UI"/>
          <w:b w:val="0"/>
          <w:color w:val="33312D"/>
          <w:sz w:val="20"/>
        </w:rPr>
        <w:t>Bank Ramp piramidă + Quarter Pipe – element de skatepark folosit pentru luarea avântului către obstacolele centrale ale skateparkului (funbox-uri,</w:t>
        <w:br/>
        <w:t>grindbox-uri, rail-uri). Este totodată un element pe care se execută diverse figuri. Acest echipament poate fi combinat formând un perete,</w:t>
        <w:br/>
        <w:t>completat suplimentar cu rail-uri, grindbox-uri și scări, datorită cărui fapt skateparkul devine un loc mult mai interesant. Bank Ramp</w:t>
        <w:br/>
        <w:t>piramidă + Quarter Pipe poate constitui și o componentă a unor platforme extinse. Echipamentul este destinat practicării pe skateboard,</w:t>
        <w:br/>
        <w:t>BMX, role și trotinetă.</w:t>
      </w:r>
    </w:p>
    <w:p>
      <w:pPr>
        <w:spacing w:after="20" w:before="0"/>
      </w:pPr>
      <w:r>
        <w:rPr>
          <w:rFonts w:ascii="Segoe UI" w:hAnsi="Segoe UI"/>
          <w:b/>
          <w:color w:val="5A9118"/>
          <w:sz w:val="18"/>
        </w:rPr>
        <w:t>Tehnologie</w:t>
      </w:r>
    </w:p>
    <w:p>
      <w:pPr>
        <w:spacing w:after="80" w:before="0"/>
      </w:pPr>
      <w:r>
        <w:rPr>
          <w:rFonts w:ascii="Segoe UI" w:hAnsi="Segoe UI"/>
          <w:b w:val="0"/>
          <w:color w:val="33312D"/>
          <w:sz w:val="20"/>
        </w:rPr>
        <w:t>Element modular realizat din placaj laminat 18 mm și grinzi din lemn. Stratul superior al elementului trebuie realizat din laminat de 6 mm în culoare deschisă, pentru a crește rezistența elementului de rulare. Toate placajele și covoarele de rulare trebuie debitate cu mașini cu comandă numerică CNC. Elementele metalice sunt realizate din oțel galvanizat. Specificația detaliată de execuție a elementului se găsește în partea ulterioară a documentației.</w:t>
      </w:r>
    </w:p>
    <w:p>
      <w:pPr>
        <w:spacing w:after="20" w:before="0"/>
      </w:pPr>
      <w:r>
        <w:rPr>
          <w:rFonts w:ascii="Segoe UI" w:hAnsi="Segoe UI"/>
          <w:b/>
          <w:color w:val="5A9118"/>
          <w:sz w:val="18"/>
        </w:rPr>
        <w:t>Siguranță</w:t>
      </w:r>
    </w:p>
    <w:p>
      <w:pPr>
        <w:spacing w:after="80" w:before="0"/>
      </w:pPr>
      <w:r>
        <w:rPr>
          <w:rFonts w:ascii="Segoe UI" w:hAnsi="Segoe UI"/>
          <w:b w:val="0"/>
          <w:color w:val="33312D"/>
          <w:sz w:val="20"/>
        </w:rPr>
        <w:t>Echipamentul trebuie să dețină certificat de conformitate cu norma PN-EN 14974:2019. Certificatul trebuie emis de un organism acreditat de Centrul Polonez de Acreditare. Certificatul furnizat de Executant trebuie să confirme controlul de siguranță al produsului și să includă monitorizarea producției de către un organism de testare independent și autorizat. Nu se admite prezentarea de avize tehnice emise de asociații sau experți, întrucât acestea nu sunt organisme abilitate să elibereze certificate care atestă conformitatea produsului cu norma. Nu se admite utilizarea HPL-ului negru, deoarece în perioadele de vară se încălzește la temperaturi ridicate. Achizitorul solicită furnizarea certificatelor împreună cu oferta.</w:t>
      </w:r>
    </w:p>
    <w:p>
      <w:r>
        <w:br w:type="page"/>
      </w:r>
    </w:p>
    <w:p>
      <w:pPr>
        <w:spacing w:after="100" w:before="80"/>
      </w:pPr>
      <w:r>
        <w:rPr>
          <w:rFonts w:ascii="Segoe UI" w:hAnsi="Segoe UI"/>
          <w:b/>
          <w:color w:val="33312D"/>
          <w:sz w:val="26"/>
        </w:rPr>
        <w:t>Echipament nr. 4 - Rail drept</w:t>
      </w:r>
    </w:p>
    <w:p>
      <w:pPr>
        <w:jc w:val="center"/>
      </w:pPr>
      <w:r>
        <w:drawing>
          <wp:inline xmlns:a="http://schemas.openxmlformats.org/drawingml/2006/main" xmlns:pic="http://schemas.openxmlformats.org/drawingml/2006/picture">
            <wp:extent cx="4206240" cy="2303725"/>
            <wp:docPr id="4" name="Picture 4"/>
            <wp:cNvGraphicFramePr>
              <a:graphicFrameLocks noChangeAspect="1"/>
            </wp:cNvGraphicFramePr>
            <a:graphic>
              <a:graphicData uri="http://schemas.openxmlformats.org/drawingml/2006/picture">
                <pic:pic>
                  <pic:nvPicPr>
                    <pic:cNvPr id="0" name="image.jpg"/>
                    <pic:cNvPicPr/>
                  </pic:nvPicPr>
                  <pic:blipFill>
                    <a:blip r:embed="rId14"/>
                    <a:stretch>
                      <a:fillRect/>
                    </a:stretch>
                  </pic:blipFill>
                  <pic:spPr>
                    <a:xfrm>
                      <a:off x="0" y="0"/>
                      <a:ext cx="4206240" cy="2303725"/>
                    </a:xfrm>
                    <a:prstGeom prst="rect"/>
                  </pic:spPr>
                </pic:pic>
              </a:graphicData>
            </a:graphic>
          </wp:inline>
        </w:drawing>
      </w:r>
    </w:p>
    <w:p>
      <w:pPr>
        <w:spacing w:after="20" w:before="0"/>
      </w:pPr>
      <w:r>
        <w:rPr>
          <w:rFonts w:ascii="Segoe UI" w:hAnsi="Segoe UI"/>
          <w:b/>
          <w:color w:val="5A9118"/>
          <w:sz w:val="18"/>
        </w:rPr>
        <w:t>Dimensiunile echipamentului</w:t>
      </w:r>
    </w:p>
    <w:p>
      <w:pPr>
        <w:spacing w:after="80" w:before="0"/>
      </w:pPr>
      <w:r>
        <w:rPr>
          <w:rFonts w:ascii="Segoe UI" w:hAnsi="Segoe UI"/>
          <w:b w:val="0"/>
          <w:color w:val="33312D"/>
          <w:sz w:val="20"/>
        </w:rPr>
        <w:t>400x5x35</w:t>
      </w:r>
    </w:p>
    <w:p>
      <w:pPr>
        <w:spacing w:after="20" w:before="0"/>
      </w:pPr>
      <w:r>
        <w:rPr>
          <w:rFonts w:ascii="Segoe UI" w:hAnsi="Segoe UI"/>
          <w:b/>
          <w:color w:val="5A9118"/>
          <w:sz w:val="18"/>
        </w:rPr>
        <w:t>Tehnologie</w:t>
      </w:r>
    </w:p>
    <w:p>
      <w:pPr>
        <w:spacing w:after="80" w:before="0"/>
      </w:pPr>
      <w:r>
        <w:rPr>
          <w:rFonts w:ascii="Segoe UI" w:hAnsi="Segoe UI"/>
          <w:b w:val="0"/>
          <w:color w:val="33312D"/>
          <w:sz w:val="20"/>
        </w:rPr>
        <w:t>Rail drept – element folosit pentru distracție și pentru învățarea de figuri noi. Rail-urile ar trebui să existe în orice skatepark, atât mic, cât și mare. Este un element independent, care completează platforma skateparkului sau diversifică elemente precum funbox-uri, box-uri sau platforme. Echipamentul este destinat practicării pe skateboard, BMX, role și trotinetă.</w:t>
      </w:r>
    </w:p>
    <w:p>
      <w:pPr>
        <w:spacing w:after="20" w:before="0"/>
      </w:pPr>
      <w:r>
        <w:rPr>
          <w:rFonts w:ascii="Segoe UI" w:hAnsi="Segoe UI"/>
          <w:b/>
          <w:color w:val="5A9118"/>
          <w:sz w:val="18"/>
        </w:rPr>
        <w:t>Siguranță</w:t>
      </w:r>
    </w:p>
    <w:p>
      <w:pPr>
        <w:spacing w:after="80" w:before="0"/>
      </w:pPr>
      <w:r>
        <w:rPr>
          <w:rFonts w:ascii="Segoe UI" w:hAnsi="Segoe UI"/>
          <w:b w:val="0"/>
          <w:color w:val="33312D"/>
          <w:sz w:val="20"/>
        </w:rPr>
        <w:t>Echipamentul trebuie să dețină certificat de conformitate cu norma PN-EN 14974:2019. Certificatul trebuie emis de un organism acreditat de Centrul Polonez de Acreditare. Certificatul furnizat de Executant trebuie să confirme controlul de siguranță al produsului și să includă monitorizarea producției de către un organism de testare independent și autorizat. Nu se admite prezentarea de avize tehnice emise de asociații sau experți, întrucât acestea nu sunt organisme abilitate să elibereze certificate care atestă conformitatea produsului cu norma. Nu se admite utilizarea HPL-ului negru, deoarece în perioadele de vară se încălzește la temperaturi ridicate. Achizitorul solicită furnizarea certificatelor împreună cu oferta.</w:t>
      </w:r>
    </w:p>
    <w:p>
      <w:r>
        <w:br w:type="page"/>
      </w:r>
    </w:p>
    <w:p>
      <w:pPr>
        <w:spacing w:after="100" w:before="80"/>
      </w:pPr>
      <w:r>
        <w:rPr>
          <w:rFonts w:ascii="Segoe UI" w:hAnsi="Segoe UI"/>
          <w:b/>
          <w:color w:val="33312D"/>
          <w:sz w:val="26"/>
        </w:rPr>
        <w:t>Echipament nr. 5 - Ledge 4</w:t>
      </w:r>
    </w:p>
    <w:p>
      <w:pPr>
        <w:jc w:val="center"/>
      </w:pPr>
      <w:r>
        <w:drawing>
          <wp:inline xmlns:a="http://schemas.openxmlformats.org/drawingml/2006/main" xmlns:pic="http://schemas.openxmlformats.org/drawingml/2006/picture">
            <wp:extent cx="4206240" cy="2682132"/>
            <wp:docPr id="5" name="Picture 5"/>
            <wp:cNvGraphicFramePr>
              <a:graphicFrameLocks noChangeAspect="1"/>
            </wp:cNvGraphicFramePr>
            <a:graphic>
              <a:graphicData uri="http://schemas.openxmlformats.org/drawingml/2006/picture">
                <pic:pic>
                  <pic:nvPicPr>
                    <pic:cNvPr id="0" name="image.jpg"/>
                    <pic:cNvPicPr/>
                  </pic:nvPicPr>
                  <pic:blipFill>
                    <a:blip r:embed="rId15"/>
                    <a:stretch>
                      <a:fillRect/>
                    </a:stretch>
                  </pic:blipFill>
                  <pic:spPr>
                    <a:xfrm>
                      <a:off x="0" y="0"/>
                      <a:ext cx="4206240" cy="2682132"/>
                    </a:xfrm>
                    <a:prstGeom prst="rect"/>
                  </pic:spPr>
                </pic:pic>
              </a:graphicData>
            </a:graphic>
          </wp:inline>
        </w:drawing>
      </w:r>
    </w:p>
    <w:p>
      <w:pPr>
        <w:spacing w:after="20" w:before="0"/>
      </w:pPr>
      <w:r>
        <w:rPr>
          <w:rFonts w:ascii="Segoe UI" w:hAnsi="Segoe UI"/>
          <w:b/>
          <w:color w:val="5A9118"/>
          <w:sz w:val="18"/>
        </w:rPr>
        <w:t>Dimensiunile echipamentului</w:t>
      </w:r>
    </w:p>
    <w:p>
      <w:pPr>
        <w:spacing w:after="80" w:before="0"/>
      </w:pPr>
      <w:r>
        <w:rPr>
          <w:rFonts w:ascii="Segoe UI" w:hAnsi="Segoe UI"/>
          <w:b w:val="0"/>
          <w:color w:val="33312D"/>
          <w:sz w:val="20"/>
        </w:rPr>
        <w:t>286x60x35/47</w:t>
      </w:r>
    </w:p>
    <w:p>
      <w:pPr>
        <w:spacing w:after="20" w:before="0"/>
      </w:pPr>
      <w:r>
        <w:rPr>
          <w:rFonts w:ascii="Segoe UI" w:hAnsi="Segoe UI"/>
          <w:b/>
          <w:color w:val="5A9118"/>
          <w:sz w:val="18"/>
        </w:rPr>
        <w:t>Tehnologie</w:t>
      </w:r>
    </w:p>
    <w:p>
      <w:pPr>
        <w:spacing w:after="80" w:before="0"/>
      </w:pPr>
      <w:r>
        <w:rPr>
          <w:rFonts w:ascii="Segoe UI" w:hAnsi="Segoe UI"/>
          <w:b w:val="0"/>
          <w:color w:val="33312D"/>
          <w:sz w:val="20"/>
        </w:rPr>
        <w:t>Ledge – element folosit pentru distracție și pentru învățarea de figuri noi. Ledge-urile ar trebui să existe în orice skatepark, atât mic, cât și mare. Este un element independent, care completează platforma skateparkului sau diversifică elemente precum funbox-uri, box-uri sau platforme. Echipamentul este destinat practicării pe skateboard, BMX, role și trotinetă.</w:t>
      </w:r>
    </w:p>
    <w:p>
      <w:pPr>
        <w:spacing w:after="20" w:before="0"/>
      </w:pPr>
      <w:r>
        <w:rPr>
          <w:rFonts w:ascii="Segoe UI" w:hAnsi="Segoe UI"/>
          <w:b/>
          <w:color w:val="5A9118"/>
          <w:sz w:val="18"/>
        </w:rPr>
        <w:t>Siguranță</w:t>
      </w:r>
    </w:p>
    <w:p>
      <w:pPr>
        <w:spacing w:after="80" w:before="0"/>
      </w:pPr>
      <w:r>
        <w:rPr>
          <w:rFonts w:ascii="Segoe UI" w:hAnsi="Segoe UI"/>
          <w:b w:val="0"/>
          <w:color w:val="33312D"/>
          <w:sz w:val="20"/>
        </w:rPr>
        <w:t>Echipamentul trebuie să dețină certificat de conformitate cu norma PN-EN 14974:2019. Certificatul trebuie emis de un organism acreditat de Centrul Polonez de Acreditare. Certificatul furnizat de Executant trebuie să confirme controlul de siguranță al produsului și să includă monitorizarea producției de către un organism de testare independent și autorizat. Nu se admite prezentarea de avize tehnice emise de asociații sau experți, întrucât acestea nu sunt organisme abilitate să elibereze certificate care atestă conformitatea produsului cu norma. Nu se admite utilizarea HPL-ului negru, deoarece în perioadele de vară se încălzește la temperaturi ridicate. Achizitorul solicită furnizarea certificatelor împreună cu oferta.</w:t>
      </w:r>
    </w:p>
    <w:p>
      <w:r>
        <w:br w:type="page"/>
      </w:r>
    </w:p>
    <w:p>
      <w:pPr>
        <w:spacing w:after="100" w:before="80"/>
      </w:pPr>
      <w:r>
        <w:rPr>
          <w:rFonts w:ascii="Segoe UI" w:hAnsi="Segoe UI"/>
          <w:b/>
          <w:color w:val="33312D"/>
          <w:sz w:val="26"/>
        </w:rPr>
        <w:t>Echipament nr. 6 - Minirampă H120 + Quarter Pipe</w:t>
      </w:r>
    </w:p>
    <w:p>
      <w:pPr>
        <w:jc w:val="center"/>
      </w:pPr>
      <w:r>
        <w:drawing>
          <wp:inline xmlns:a="http://schemas.openxmlformats.org/drawingml/2006/main" xmlns:pic="http://schemas.openxmlformats.org/drawingml/2006/picture">
            <wp:extent cx="4206240" cy="2999011"/>
            <wp:docPr id="6" name="Picture 6"/>
            <wp:cNvGraphicFramePr>
              <a:graphicFrameLocks noChangeAspect="1"/>
            </wp:cNvGraphicFramePr>
            <a:graphic>
              <a:graphicData uri="http://schemas.openxmlformats.org/drawingml/2006/picture">
                <pic:pic>
                  <pic:nvPicPr>
                    <pic:cNvPr id="0" name="image.jpg"/>
                    <pic:cNvPicPr/>
                  </pic:nvPicPr>
                  <pic:blipFill>
                    <a:blip r:embed="rId16"/>
                    <a:stretch>
                      <a:fillRect/>
                    </a:stretch>
                  </pic:blipFill>
                  <pic:spPr>
                    <a:xfrm>
                      <a:off x="0" y="0"/>
                      <a:ext cx="4206240" cy="2999011"/>
                    </a:xfrm>
                    <a:prstGeom prst="rect"/>
                  </pic:spPr>
                </pic:pic>
              </a:graphicData>
            </a:graphic>
          </wp:inline>
        </w:drawing>
      </w:r>
    </w:p>
    <w:p>
      <w:pPr>
        <w:spacing w:after="20" w:before="0"/>
      </w:pPr>
      <w:r>
        <w:rPr>
          <w:rFonts w:ascii="Segoe UI" w:hAnsi="Segoe UI"/>
          <w:b/>
          <w:color w:val="5A9118"/>
          <w:sz w:val="18"/>
        </w:rPr>
        <w:t>Dimensiunile echipamentului</w:t>
      </w:r>
    </w:p>
    <w:p>
      <w:pPr>
        <w:spacing w:after="80" w:before="0"/>
      </w:pPr>
      <w:r>
        <w:rPr>
          <w:rFonts w:ascii="Segoe UI" w:hAnsi="Segoe UI"/>
          <w:b w:val="0"/>
          <w:color w:val="33312D"/>
          <w:sz w:val="20"/>
        </w:rPr>
        <w:t>1002x666x120</w:t>
      </w:r>
    </w:p>
    <w:p>
      <w:pPr>
        <w:spacing w:after="20" w:before="0"/>
      </w:pPr>
      <w:r>
        <w:rPr>
          <w:rFonts w:ascii="Segoe UI" w:hAnsi="Segoe UI"/>
          <w:b/>
          <w:color w:val="5A9118"/>
          <w:sz w:val="18"/>
        </w:rPr>
        <w:t>Descrierea echipamentului</w:t>
      </w:r>
    </w:p>
    <w:p>
      <w:pPr>
        <w:spacing w:after="80" w:before="0"/>
      </w:pPr>
      <w:r>
        <w:rPr>
          <w:rFonts w:ascii="Segoe UI" w:hAnsi="Segoe UI"/>
          <w:b w:val="0"/>
          <w:color w:val="33312D"/>
          <w:sz w:val="20"/>
        </w:rPr>
        <w:t>Minirampă – este un element pentru distracție și pentru învățarea de figuri noi. Este obstacolul la care visează toți skaterii. Minirampa se deosebește</w:t>
        <w:br/>
        <w:t>prin faptul că raza ei nu ajunge niciodată la verticală, motiv pentru care pe ea pot rula atât începătorii, cât și avansații</w:t>
        <w:br/>
        <w:t>concurenți. Este un element pe care pot rula skateboarderi, roleri și practicanți de BMX. Echipamentul este dotat suplimentar cu un</w:t>
        <w:br/>
        <w:t>quarter pipe. O minirampă bine dezvoltată și diversificată, datorită universalității sale, poate constitui uneori un mic</w:t>
        <w:br/>
        <w:t>skatepark.</w:t>
      </w:r>
    </w:p>
    <w:p>
      <w:pPr>
        <w:spacing w:after="20" w:before="0"/>
      </w:pPr>
      <w:r>
        <w:rPr>
          <w:rFonts w:ascii="Segoe UI" w:hAnsi="Segoe UI"/>
          <w:b/>
          <w:color w:val="5A9118"/>
          <w:sz w:val="18"/>
        </w:rPr>
        <w:t>Tehnologie</w:t>
      </w:r>
    </w:p>
    <w:p>
      <w:pPr>
        <w:spacing w:after="80" w:before="0"/>
      </w:pPr>
      <w:r>
        <w:rPr>
          <w:rFonts w:ascii="Segoe UI" w:hAnsi="Segoe UI"/>
          <w:b w:val="0"/>
          <w:color w:val="33312D"/>
          <w:sz w:val="20"/>
        </w:rPr>
        <w:t>Element modular realizat din placaj laminat 18 mm și grinzi din lemn. Stratul superior al elementului trebuie realizat din laminat de 6 mm în culoare deschisă, pentru a crește rezistența elementului de rulare. Toate placajele și covoarele de rulare trebuie debitate cu mașini cu comandă numerică CNC. Elementele metalice sunt realizate din oțel galvanizat. Specificația detaliată de execuție a elementului se găsește în partea ulterioară a documentației.</w:t>
      </w:r>
    </w:p>
    <w:p>
      <w:pPr>
        <w:spacing w:after="20" w:before="0"/>
      </w:pPr>
      <w:r>
        <w:rPr>
          <w:rFonts w:ascii="Segoe UI" w:hAnsi="Segoe UI"/>
          <w:b/>
          <w:color w:val="5A9118"/>
          <w:sz w:val="18"/>
        </w:rPr>
        <w:t>Siguranță</w:t>
      </w:r>
    </w:p>
    <w:p>
      <w:pPr>
        <w:spacing w:after="80" w:before="0"/>
      </w:pPr>
      <w:r>
        <w:rPr>
          <w:rFonts w:ascii="Segoe UI" w:hAnsi="Segoe UI"/>
          <w:b w:val="0"/>
          <w:color w:val="33312D"/>
          <w:sz w:val="20"/>
        </w:rPr>
        <w:t>Echipamentul trebuie să dețină certificat de conformitate cu norma PN-EN 14974:2019. Certificatul trebuie emis de un organism acreditat de Centrul Polonez de Acreditare. Certificatul furnizat de Executant trebuie să confirme controlul de siguranță al produsului și să includă monitorizarea producției de către un organism de testare independent și autorizat. Nu se admite prezentarea de avize tehnice emise de asociații sau experți, întrucât acestea nu sunt organisme abilitate să elibereze certificate care atestă conformitatea produsului cu norma. Nu se admite utilizarea HPL-ului negru, deoarece în perioadele de vară se încălzește la temperaturi ridicate. Achizitorul solicită furnizarea certificatelor împreună cu oferta.</w:t>
      </w:r>
    </w:p>
    <w:p>
      <w:r>
        <w:br w:type="page"/>
      </w:r>
    </w:p>
    <w:p>
      <w:pPr>
        <w:spacing w:after="100" w:before="80"/>
      </w:pPr>
      <w:r>
        <w:rPr>
          <w:rFonts w:ascii="Segoe UI" w:hAnsi="Segoe UI"/>
          <w:b/>
          <w:color w:val="33312D"/>
          <w:sz w:val="26"/>
        </w:rPr>
        <w:t>Echipament nr. 7 - Platformă + Bank Ramp</w:t>
      </w:r>
    </w:p>
    <w:p>
      <w:pPr>
        <w:jc w:val="center"/>
      </w:pPr>
      <w:r>
        <w:drawing>
          <wp:inline xmlns:a="http://schemas.openxmlformats.org/drawingml/2006/main" xmlns:pic="http://schemas.openxmlformats.org/drawingml/2006/picture">
            <wp:extent cx="4206240" cy="2757682"/>
            <wp:docPr id="7" name="Picture 7"/>
            <wp:cNvGraphicFramePr>
              <a:graphicFrameLocks noChangeAspect="1"/>
            </wp:cNvGraphicFramePr>
            <a:graphic>
              <a:graphicData uri="http://schemas.openxmlformats.org/drawingml/2006/picture">
                <pic:pic>
                  <pic:nvPicPr>
                    <pic:cNvPr id="0" name="image.jpg"/>
                    <pic:cNvPicPr/>
                  </pic:nvPicPr>
                  <pic:blipFill>
                    <a:blip r:embed="rId17"/>
                    <a:stretch>
                      <a:fillRect/>
                    </a:stretch>
                  </pic:blipFill>
                  <pic:spPr>
                    <a:xfrm>
                      <a:off x="0" y="0"/>
                      <a:ext cx="4206240" cy="2757682"/>
                    </a:xfrm>
                    <a:prstGeom prst="rect"/>
                  </pic:spPr>
                </pic:pic>
              </a:graphicData>
            </a:graphic>
          </wp:inline>
        </w:drawing>
      </w:r>
    </w:p>
    <w:p>
      <w:pPr>
        <w:spacing w:after="20" w:before="0"/>
      </w:pPr>
      <w:r>
        <w:rPr>
          <w:rFonts w:ascii="Segoe UI" w:hAnsi="Segoe UI"/>
          <w:b/>
          <w:color w:val="5A9118"/>
          <w:sz w:val="18"/>
        </w:rPr>
        <w:t>Dimensiunile echipamentului</w:t>
      </w:r>
    </w:p>
    <w:p>
      <w:pPr>
        <w:spacing w:after="80" w:before="0"/>
      </w:pPr>
      <w:r>
        <w:rPr>
          <w:rFonts w:ascii="Segoe UI" w:hAnsi="Segoe UI"/>
          <w:b w:val="0"/>
          <w:color w:val="33312D"/>
          <w:sz w:val="20"/>
        </w:rPr>
        <w:t>1152x950x120</w:t>
      </w:r>
    </w:p>
    <w:p>
      <w:pPr>
        <w:spacing w:after="20" w:before="0"/>
      </w:pPr>
      <w:r>
        <w:rPr>
          <w:rFonts w:ascii="Segoe UI" w:hAnsi="Segoe UI"/>
          <w:b/>
          <w:color w:val="5A9118"/>
          <w:sz w:val="18"/>
        </w:rPr>
        <w:t>Descrierea echipamentului</w:t>
      </w:r>
    </w:p>
    <w:p>
      <w:pPr>
        <w:spacing w:after="80" w:before="0"/>
      </w:pPr>
      <w:r>
        <w:rPr>
          <w:rFonts w:ascii="Segoe UI" w:hAnsi="Segoe UI"/>
          <w:b w:val="0"/>
          <w:color w:val="33312D"/>
          <w:sz w:val="20"/>
        </w:rPr>
        <w:t>Platformă + Bank Ramp – element de skatepark autonom, care servește la luarea avântului către obstacolele centrale ale skateparkului</w:t>
        <w:br/>
        <w:t>(funbox-uri, grindbox-uri, rail-uri) și permite executarea diferitelor figuri. Platforma poate fi extinsă în orice mod,</w:t>
        <w:br/>
        <w:t>ceea ce oferă posibilități mai mari de a învăța figuri noi. Echipamentul este destinat practicării pe skateboard, BMX, role și</w:t>
        <w:br/>
        <w:t>trotinetă.</w:t>
      </w:r>
    </w:p>
    <w:p>
      <w:pPr>
        <w:spacing w:after="20" w:before="0"/>
      </w:pPr>
      <w:r>
        <w:rPr>
          <w:rFonts w:ascii="Segoe UI" w:hAnsi="Segoe UI"/>
          <w:b/>
          <w:color w:val="5A9118"/>
          <w:sz w:val="18"/>
        </w:rPr>
        <w:t>Tehnologie</w:t>
      </w:r>
    </w:p>
    <w:p>
      <w:pPr>
        <w:spacing w:after="80" w:before="0"/>
      </w:pPr>
      <w:r>
        <w:rPr>
          <w:rFonts w:ascii="Segoe UI" w:hAnsi="Segoe UI"/>
          <w:b w:val="0"/>
          <w:color w:val="33312D"/>
          <w:sz w:val="20"/>
        </w:rPr>
        <w:t>Element modular realizat din placaj laminat 18 mm și grinzi din lemn. Stratul superior al elementului trebuie realizat din laminat de 6 mm în culoare deschisă, pentru a crește rezistența elementului de rulare. Toate placajele și covoarele de rulare trebuie debitate cu mașini cu comandă numerică CNC. Elementele metalice sunt realizate din oțel galvanizat. Specificația detaliată de execuție a elementului se găsește în partea ulterioară a documentației.</w:t>
      </w:r>
    </w:p>
    <w:p>
      <w:pPr>
        <w:spacing w:after="20" w:before="0"/>
      </w:pPr>
      <w:r>
        <w:rPr>
          <w:rFonts w:ascii="Segoe UI" w:hAnsi="Segoe UI"/>
          <w:b/>
          <w:color w:val="5A9118"/>
          <w:sz w:val="18"/>
        </w:rPr>
        <w:t>Siguranță</w:t>
      </w:r>
    </w:p>
    <w:p>
      <w:pPr>
        <w:spacing w:after="80" w:before="0"/>
      </w:pPr>
      <w:r>
        <w:rPr>
          <w:rFonts w:ascii="Segoe UI" w:hAnsi="Segoe UI"/>
          <w:b w:val="0"/>
          <w:color w:val="33312D"/>
          <w:sz w:val="20"/>
        </w:rPr>
        <w:t>Echipamentul trebuie să dețină certificat de conformitate cu norma PN-EN 14974:2019. Certificatul trebuie emis de un organism acreditat de Centrul Polonez de Acreditare. Certificatul furnizat de Executant trebuie să confirme controlul de siguranță al produsului și să includă monitorizarea producției de către un organism de testare independent și autorizat. Nu se admite prezentarea de avize tehnice emise de asociații sau experți, întrucât acestea nu sunt organisme abilitate să elibereze certificate care atestă conformitatea produsului cu norma. Nu se admite utilizarea HPL-ului negru, deoarece în perioadele de vară se încălzește la temperaturi ridicate. Achizitorul solicită furnizarea certificatelor împreună cu oferta.</w:t>
      </w:r>
    </w:p>
    <w:p>
      <w:r>
        <w:br w:type="page"/>
      </w:r>
    </w:p>
    <w:p>
      <w:pPr>
        <w:spacing w:after="100" w:before="200"/>
      </w:pPr>
      <w:r>
        <w:rPr>
          <w:rFonts w:ascii="Segoe UI" w:hAnsi="Segoe UI"/>
          <w:b/>
          <w:color w:val="33312D"/>
          <w:sz w:val="36"/>
        </w:rPr>
        <w:t>Specificație tehnică generală</w:t>
      </w:r>
    </w:p>
    <w:p>
      <w:pPr>
        <w:spacing w:after="160" w:before="0"/>
      </w:pPr>
      <w:r>
        <w:rPr>
          <w:rFonts w:ascii="Segoe UI" w:hAnsi="Segoe UI"/>
          <w:b w:val="0"/>
          <w:color w:val="75736D"/>
          <w:sz w:val="20"/>
        </w:rPr>
        <w:t>Cerințele de mai jos se aplică tuturor echipamentelor modulare din această fișă, indiferent de model.</w:t>
      </w:r>
    </w:p>
    <w:p>
      <w:pPr>
        <w:spacing w:after="100" w:before="200"/>
      </w:pPr>
      <w:r>
        <w:rPr>
          <w:rFonts w:ascii="Segoe UI" w:hAnsi="Segoe UI"/>
          <w:b/>
          <w:color w:val="33312D"/>
          <w:sz w:val="26"/>
        </w:rPr>
        <w:t>I. Cerințe privind materialele</w:t>
      </w:r>
    </w:p>
    <w:p>
      <w:pPr>
        <w:spacing w:after="60" w:before="120"/>
      </w:pPr>
      <w:r>
        <w:rPr>
          <w:rFonts w:ascii="Segoe UI" w:hAnsi="Segoe UI"/>
          <w:b/>
          <w:color w:val="5A9118"/>
          <w:sz w:val="21"/>
        </w:rPr>
        <w:t>1) Construcția echipamentelor</w:t>
      </w:r>
    </w:p>
    <w:p>
      <w:pPr>
        <w:spacing w:after="40" w:before="80"/>
      </w:pPr>
      <w:r>
        <w:rPr>
          <w:rFonts w:ascii="Segoe UI" w:hAnsi="Segoe UI"/>
          <w:b/>
          <w:color w:val="33312D"/>
          <w:sz w:val="20"/>
        </w:rPr>
        <w:t>a) Material</w:t>
      </w:r>
    </w:p>
    <w:p>
      <w:pPr>
        <w:pStyle w:val="ListBullet"/>
        <w:spacing w:after="60" w:before="0"/>
      </w:pPr>
      <w:r>
        <w:rPr>
          <w:rFonts w:ascii="Segoe UI" w:hAnsi="Segoe UI"/>
          <w:b w:val="0"/>
          <w:color w:val="33312D"/>
          <w:sz w:val="19"/>
        </w:rPr>
        <w:t>Plăcile portante (de construcție) din placaj închis la culoare, rezistent la apă, laminat pe ambele fețe, grosime ≥ 18 mm.</w:t>
      </w:r>
    </w:p>
    <w:p>
      <w:pPr>
        <w:pStyle w:val="ListBullet"/>
        <w:spacing w:after="60" w:before="0"/>
      </w:pPr>
      <w:r>
        <w:rPr>
          <w:rFonts w:ascii="Segoe UI" w:hAnsi="Segoe UI"/>
          <w:b w:val="0"/>
          <w:color w:val="33312D"/>
          <w:sz w:val="19"/>
        </w:rPr>
        <w:t>Module cu orificii Ø12 mm între grinzi, înșurubate cu șuruburi galvanizate M12; orificiile exterioare au rol de ventilație, șuruburile vizibile finisate cu capac tip ciupercă (anexa nr. 2).</w:t>
      </w:r>
    </w:p>
    <w:p>
      <w:pPr>
        <w:pStyle w:val="ListBullet"/>
        <w:spacing w:after="60" w:before="0"/>
      </w:pPr>
      <w:r>
        <w:rPr>
          <w:rFonts w:ascii="Segoe UI" w:hAnsi="Segoe UI"/>
          <w:b w:val="0"/>
          <w:color w:val="33312D"/>
          <w:sz w:val="19"/>
        </w:rPr>
        <w:t>Sistem de ventilație din HPL de 6 mm pe panourile de construcție exterioare (gr. 18 mm), pentru circulația liberă a aerului (anexa nr. 2).</w:t>
      </w:r>
    </w:p>
    <w:p>
      <w:pPr>
        <w:pStyle w:val="ListBullet"/>
        <w:spacing w:after="60" w:before="0"/>
      </w:pPr>
      <w:r>
        <w:rPr>
          <w:rFonts w:ascii="Segoe UI" w:hAnsi="Segoe UI"/>
          <w:b w:val="0"/>
          <w:color w:val="33312D"/>
          <w:sz w:val="19"/>
        </w:rPr>
        <w:t>Panouri laterale pe picioare de sprijin, pentru eliminarea absorbției umidității și ventilație suplimentară (anexa nr. 2).</w:t>
      </w:r>
    </w:p>
    <w:p>
      <w:pPr>
        <w:pStyle w:val="ListBullet"/>
        <w:spacing w:after="60" w:before="0"/>
      </w:pPr>
      <w:r>
        <w:rPr>
          <w:rFonts w:ascii="Segoe UI" w:hAnsi="Segoe UI"/>
          <w:b w:val="0"/>
          <w:color w:val="33312D"/>
          <w:sz w:val="19"/>
        </w:rPr>
        <w:t>Șuruburile laterale înșurubate la nivel cu placarea (orificii alezate și frezate CNC).</w:t>
      </w:r>
    </w:p>
    <w:p>
      <w:pPr>
        <w:pStyle w:val="ListBullet"/>
        <w:spacing w:after="60" w:before="0"/>
      </w:pPr>
      <w:r>
        <w:rPr>
          <w:rFonts w:ascii="Segoe UI" w:hAnsi="Segoe UI"/>
          <w:b w:val="0"/>
          <w:color w:val="33312D"/>
          <w:sz w:val="19"/>
        </w:rPr>
        <w:t>Grinzi fixate de plăcile portante cu șuruburi galvanizate Torx 6x140, minimum 2 la fiecare capăt.</w:t>
      </w:r>
    </w:p>
    <w:p>
      <w:pPr>
        <w:pStyle w:val="ListBullet"/>
        <w:spacing w:after="60" w:before="0"/>
      </w:pPr>
      <w:r>
        <w:rPr>
          <w:rFonts w:ascii="Segoe UI" w:hAnsi="Segoe UI"/>
          <w:b w:val="0"/>
          <w:color w:val="33312D"/>
          <w:sz w:val="19"/>
        </w:rPr>
        <w:t>Capac de vizitare la elementele mai înalte de 1 m și mai late de 1,8 m (anexa nr. 3).</w:t>
      </w:r>
    </w:p>
    <w:p>
      <w:pPr>
        <w:spacing w:after="40" w:before="80"/>
      </w:pPr>
      <w:r>
        <w:rPr>
          <w:rFonts w:ascii="Segoe UI" w:hAnsi="Segoe UI"/>
          <w:b/>
          <w:color w:val="33312D"/>
          <w:sz w:val="20"/>
        </w:rPr>
        <w:t>b) Îmbinarea plăcilor</w:t>
      </w:r>
    </w:p>
    <w:p>
      <w:pPr>
        <w:pStyle w:val="ListBullet"/>
        <w:spacing w:after="60" w:before="0"/>
      </w:pPr>
      <w:r>
        <w:rPr>
          <w:rFonts w:ascii="Segoe UI" w:hAnsi="Segoe UI"/>
          <w:b w:val="0"/>
          <w:color w:val="33312D"/>
          <w:sz w:val="19"/>
        </w:rPr>
        <w:t>Prelungirea plăcii portante prin îmbinare în formă de puzzle, pentru a evita separarea sub sarcini și tensiuni mari (anexa nr. 1).</w:t>
      </w:r>
    </w:p>
    <w:p>
      <w:pPr>
        <w:spacing w:after="40" w:before="80"/>
      </w:pPr>
      <w:r>
        <w:rPr>
          <w:rFonts w:ascii="Segoe UI" w:hAnsi="Segoe UI"/>
          <w:b/>
          <w:color w:val="33312D"/>
          <w:sz w:val="20"/>
        </w:rPr>
        <w:t>c) Strat suport</w:t>
      </w:r>
    </w:p>
    <w:p>
      <w:pPr>
        <w:pStyle w:val="ListBullet"/>
        <w:spacing w:after="60" w:before="0"/>
      </w:pPr>
      <w:r>
        <w:rPr>
          <w:rFonts w:ascii="Segoe UI" w:hAnsi="Segoe UI"/>
          <w:b w:val="0"/>
          <w:color w:val="33312D"/>
          <w:sz w:val="19"/>
        </w:rPr>
        <w:t>Secțiuni curbe: placaj rezistent la apă, laminat pe ambele fețe, grosime ≥ 9 mm (sau 10 mm polietilenă), șuruburi Torx galvanizat 5x60/6x60.</w:t>
      </w:r>
    </w:p>
    <w:p>
      <w:pPr>
        <w:pStyle w:val="ListBullet"/>
        <w:spacing w:after="60" w:before="0"/>
      </w:pPr>
      <w:r>
        <w:rPr>
          <w:rFonts w:ascii="Segoe UI" w:hAnsi="Segoe UI"/>
          <w:b w:val="0"/>
          <w:color w:val="33312D"/>
          <w:sz w:val="19"/>
        </w:rPr>
        <w:t>Secțiuni drepte: același placaj, grosime ≥ 18 mm (sau 12 mm polietilenă), șuruburi Torx galvanizat 5x60/6x60.</w:t>
      </w:r>
    </w:p>
    <w:p>
      <w:pPr>
        <w:spacing w:after="40" w:before="80"/>
      </w:pPr>
      <w:r>
        <w:rPr>
          <w:rFonts w:ascii="Segoe UI" w:hAnsi="Segoe UI"/>
          <w:b/>
          <w:color w:val="33312D"/>
          <w:sz w:val="20"/>
        </w:rPr>
        <w:t>d) Garanția calității și a repetabilității</w:t>
      </w:r>
    </w:p>
    <w:p>
      <w:pPr>
        <w:pStyle w:val="ListBullet"/>
        <w:spacing w:after="60" w:before="0"/>
      </w:pPr>
      <w:r>
        <w:rPr>
          <w:rFonts w:ascii="Segoe UI" w:hAnsi="Segoe UI"/>
          <w:b w:val="0"/>
          <w:color w:val="33312D"/>
          <w:sz w:val="19"/>
        </w:rPr>
        <w:t>Toate plăcile portante se debitează cu mașina cu comandă numerică CNC, pentru precizie și repetabilitate.</w:t>
      </w:r>
    </w:p>
    <w:p>
      <w:pPr>
        <w:spacing w:after="60" w:before="120"/>
      </w:pPr>
      <w:r>
        <w:rPr>
          <w:rFonts w:ascii="Segoe UI" w:hAnsi="Segoe UI"/>
          <w:b/>
          <w:color w:val="5A9118"/>
          <w:sz w:val="21"/>
        </w:rPr>
        <w:t>2) Suprafața de rulare</w:t>
      </w:r>
    </w:p>
    <w:p>
      <w:pPr>
        <w:pStyle w:val="ListBullet"/>
        <w:spacing w:after="60" w:before="0"/>
      </w:pPr>
      <w:r>
        <w:rPr>
          <w:rFonts w:ascii="Segoe UI" w:hAnsi="Segoe UI"/>
          <w:b w:val="0"/>
          <w:color w:val="33312D"/>
          <w:sz w:val="19"/>
        </w:rPr>
        <w:t>Covor RampLine profesional de 6 mm (variantă HPL antiderapantă), fixat cu șuruburi galvanizate Spax/Torx 6x60.</w:t>
      </w:r>
    </w:p>
    <w:p>
      <w:pPr>
        <w:pStyle w:val="ListBullet"/>
        <w:spacing w:after="60" w:before="0"/>
      </w:pPr>
      <w:r>
        <w:rPr>
          <w:rFonts w:ascii="Segoe UI" w:hAnsi="Segoe UI"/>
          <w:b w:val="0"/>
          <w:color w:val="33312D"/>
          <w:sz w:val="19"/>
        </w:rPr>
        <w:t>Minimum 90% dintre orificii găurite și alezate CNC; minimum 90% dintre muchii teșite CNC (anexa nr. 4).</w:t>
      </w:r>
    </w:p>
    <w:p>
      <w:pPr>
        <w:pStyle w:val="ListBullet"/>
        <w:spacing w:after="60" w:before="0"/>
      </w:pPr>
      <w:r>
        <w:rPr>
          <w:rFonts w:ascii="Segoe UI" w:hAnsi="Segoe UI"/>
          <w:b w:val="0"/>
          <w:color w:val="33312D"/>
          <w:sz w:val="19"/>
        </w:rPr>
        <w:t>Capetele șuruburilor îngropate la maximum 1 mm; fantele de la îmbinări astupate cu masă de etanșare-lipire (anexa nr. 4).</w:t>
      </w:r>
    </w:p>
    <w:p>
      <w:pPr>
        <w:pStyle w:val="ListBullet"/>
        <w:spacing w:after="60" w:before="0"/>
      </w:pPr>
      <w:r>
        <w:rPr>
          <w:rFonts w:ascii="Segoe UI" w:hAnsi="Segoe UI"/>
          <w:b w:val="0"/>
          <w:color w:val="33312D"/>
          <w:sz w:val="19"/>
        </w:rPr>
        <w:t>Grindbox-urile protejate suplimentar pe fiecare latură de rulare cu covor RampLine de 6 mm (anexa nr. 5).</w:t>
      </w:r>
    </w:p>
    <w:p>
      <w:pPr>
        <w:spacing w:after="60" w:before="120"/>
      </w:pPr>
      <w:r>
        <w:rPr>
          <w:rFonts w:ascii="Segoe UI" w:hAnsi="Segoe UI"/>
          <w:b/>
          <w:color w:val="5A9118"/>
          <w:sz w:val="21"/>
        </w:rPr>
        <w:t>3) Balustrade de protecție</w:t>
      </w:r>
    </w:p>
    <w:p>
      <w:pPr>
        <w:pStyle w:val="ListBullet"/>
        <w:spacing w:after="60" w:before="0"/>
      </w:pPr>
      <w:r>
        <w:rPr>
          <w:rFonts w:ascii="Segoe UI" w:hAnsi="Segoe UI"/>
          <w:b w:val="0"/>
          <w:color w:val="33312D"/>
          <w:sz w:val="19"/>
        </w:rPr>
        <w:t>Balustrade la toate echipamentele mai înalte de 1 m, pe spate și pe laturile platformei (excepție: funbox-uri înalte pentru sărituri).</w:t>
      </w:r>
    </w:p>
    <w:p>
      <w:pPr>
        <w:pStyle w:val="ListBullet"/>
        <w:spacing w:after="60" w:before="0"/>
      </w:pPr>
      <w:r>
        <w:rPr>
          <w:rFonts w:ascii="Segoe UI" w:hAnsi="Segoe UI"/>
          <w:b w:val="0"/>
          <w:color w:val="33312D"/>
          <w:sz w:val="19"/>
        </w:rPr>
        <w:t>Traverse verticale; spațiu liber maximum 89 mm; înălțime minimă 1,2 m peste platformă.</w:t>
      </w:r>
    </w:p>
    <w:p>
      <w:pPr>
        <w:pStyle w:val="ListBullet"/>
        <w:spacing w:after="60" w:before="0"/>
      </w:pPr>
      <w:r>
        <w:rPr>
          <w:rFonts w:ascii="Segoe UI" w:hAnsi="Segoe UI"/>
          <w:b w:val="0"/>
          <w:color w:val="33312D"/>
          <w:sz w:val="19"/>
        </w:rPr>
        <w:t>Cadru din oțel galvanizat — profile 30×30 mm și țevi Ø16 mm, conform EN 14974 cu modificările ulterioare.</w:t>
      </w:r>
    </w:p>
    <w:p>
      <w:pPr>
        <w:pStyle w:val="ListBullet"/>
        <w:spacing w:after="60" w:before="0"/>
      </w:pPr>
      <w:r>
        <w:rPr>
          <w:rFonts w:ascii="Segoe UI" w:hAnsi="Segoe UI"/>
          <w:b w:val="0"/>
          <w:color w:val="33312D"/>
          <w:sz w:val="19"/>
        </w:rPr>
        <w:t>Balustrade înșurubate între ele cu șuruburi metrice și fixate de rampe cu șurub cu cap hexagonal SW 17 ø10×90 (anexa nr. 6).</w:t>
      </w:r>
    </w:p>
    <w:p>
      <w:pPr>
        <w:spacing w:after="60" w:before="120"/>
      </w:pPr>
      <w:r>
        <w:rPr>
          <w:rFonts w:ascii="Segoe UI" w:hAnsi="Segoe UI"/>
          <w:b/>
          <w:color w:val="5A9118"/>
          <w:sz w:val="21"/>
        </w:rPr>
        <w:t>4) Oțel</w:t>
      </w:r>
    </w:p>
    <w:p>
      <w:pPr>
        <w:pStyle w:val="ListBullet"/>
        <w:spacing w:after="60" w:before="0"/>
      </w:pPr>
      <w:r>
        <w:rPr>
          <w:rFonts w:ascii="Segoe UI" w:hAnsi="Segoe UI"/>
          <w:b w:val="0"/>
          <w:color w:val="33312D"/>
          <w:sz w:val="19"/>
        </w:rPr>
        <w:t>Toate elementele din oțel sunt din oțel galvanizat.</w:t>
      </w:r>
    </w:p>
    <w:p>
      <w:pPr>
        <w:pStyle w:val="ListBullet"/>
        <w:spacing w:after="60" w:before="0"/>
      </w:pPr>
      <w:r>
        <w:rPr>
          <w:rFonts w:ascii="Segoe UI" w:hAnsi="Segoe UI"/>
          <w:b w:val="0"/>
          <w:color w:val="33312D"/>
          <w:sz w:val="19"/>
        </w:rPr>
        <w:t>Coping din țeavă galvanizată Ø48–60,3 mm, fixat de platforme cu Spax/Torx 6x60, capete astupate cu dopuri de oțel (anexa nr. 7).</w:t>
      </w:r>
    </w:p>
    <w:p>
      <w:pPr>
        <w:pStyle w:val="ListBullet"/>
        <w:spacing w:after="60" w:before="0"/>
      </w:pPr>
      <w:r>
        <w:rPr>
          <w:rFonts w:ascii="Segoe UI" w:hAnsi="Segoe UI"/>
          <w:b w:val="0"/>
          <w:color w:val="33312D"/>
          <w:sz w:val="19"/>
        </w:rPr>
        <w:t>Pe platformele cu coping, table de 3 mm / 120 mm de-a lungul copingului, pentru protecția stratului de rulare (anexa nr. 7).</w:t>
      </w:r>
    </w:p>
    <w:p>
      <w:pPr>
        <w:pStyle w:val="ListBullet"/>
        <w:spacing w:after="60" w:before="0"/>
      </w:pPr>
      <w:r>
        <w:rPr>
          <w:rFonts w:ascii="Segoe UI" w:hAnsi="Segoe UI"/>
          <w:b w:val="0"/>
          <w:color w:val="33312D"/>
          <w:sz w:val="19"/>
        </w:rPr>
        <w:t>Corniere cu rotunjiri la îndoitură (oțel laminat la rece); rail-uri pe table de 6 mm (60×250 mm), fixate cu Spax 6x60.</w:t>
      </w:r>
    </w:p>
    <w:p>
      <w:pPr>
        <w:pStyle w:val="ListBullet"/>
        <w:spacing w:after="60" w:before="0"/>
      </w:pPr>
      <w:r>
        <w:rPr>
          <w:rFonts w:ascii="Segoe UI" w:hAnsi="Segoe UI"/>
          <w:b w:val="0"/>
          <w:color w:val="33312D"/>
          <w:sz w:val="19"/>
        </w:rPr>
        <w:t>Table de acces 350–400 mm lățime, 3 mm grosime, sprijinite pe construcție minimum 60 mm, în locaș frezat (anexa nr. 8).</w:t>
      </w:r>
    </w:p>
    <w:p>
      <w:pPr>
        <w:pStyle w:val="ListBullet"/>
        <w:spacing w:after="60" w:before="0"/>
      </w:pPr>
      <w:r>
        <w:rPr>
          <w:rFonts w:ascii="Segoe UI" w:hAnsi="Segoe UI"/>
          <w:b w:val="0"/>
          <w:color w:val="33312D"/>
          <w:sz w:val="19"/>
        </w:rPr>
        <w:t>Muchiile expuse ale covorului RampLine protejate cu corniere galvanizate (3 mm / 30–50 mm); pe curbe — laminate (anexa nr. 9).</w:t>
      </w:r>
    </w:p>
    <w:p>
      <w:pPr>
        <w:pStyle w:val="ListBullet"/>
        <w:spacing w:after="60" w:before="0"/>
      </w:pPr>
      <w:r>
        <w:rPr>
          <w:rFonts w:ascii="Segoe UI" w:hAnsi="Segoe UI"/>
          <w:b w:val="0"/>
          <w:color w:val="33312D"/>
          <w:sz w:val="19"/>
        </w:rPr>
        <w:t>Cantul metalic superior al grindbox-urilor din cornier minimum 50×50 mm, grosime perete ≥ 3 mm (anexa nr. 10).</w:t>
      </w:r>
    </w:p>
    <w:p>
      <w:pPr>
        <w:spacing w:after="60" w:before="120"/>
      </w:pPr>
      <w:r>
        <w:rPr>
          <w:rFonts w:ascii="Segoe UI" w:hAnsi="Segoe UI"/>
          <w:b/>
          <w:color w:val="5A9118"/>
          <w:sz w:val="21"/>
        </w:rPr>
        <w:t>5) Siguranță</w:t>
      </w:r>
    </w:p>
    <w:p>
      <w:pPr>
        <w:pStyle w:val="ListBullet"/>
        <w:spacing w:after="60" w:before="0"/>
      </w:pPr>
      <w:r>
        <w:rPr>
          <w:rFonts w:ascii="Segoe UI" w:hAnsi="Segoe UI"/>
          <w:b w:val="0"/>
          <w:color w:val="33312D"/>
          <w:sz w:val="19"/>
        </w:rPr>
        <w:t>Instrucțiuni de utilizare amplasate vizibil la intrare (anexa nr. 11); zone de siguranță respectate.</w:t>
      </w:r>
    </w:p>
    <w:p>
      <w:pPr>
        <w:pStyle w:val="ListBullet"/>
        <w:spacing w:after="60" w:before="0"/>
      </w:pPr>
      <w:r>
        <w:rPr>
          <w:rFonts w:ascii="Segoe UI" w:hAnsi="Segoe UI"/>
          <w:b w:val="0"/>
          <w:color w:val="33312D"/>
          <w:sz w:val="19"/>
        </w:rPr>
        <w:t>Lucrări conform reglementărilor în vigoare, sub supravegherea persoanelor autorizate.</w:t>
      </w:r>
    </w:p>
    <w:p>
      <w:pPr>
        <w:pStyle w:val="ListBullet"/>
        <w:spacing w:after="60" w:before="0"/>
      </w:pPr>
      <w:r>
        <w:rPr>
          <w:rFonts w:ascii="Segoe UI" w:hAnsi="Segoe UI"/>
          <w:b w:val="0"/>
          <w:color w:val="33312D"/>
          <w:sz w:val="19"/>
        </w:rPr>
        <w:t>Materiale cu atestate, agremente tehnice și declarații de conformitate; echipamente conforme EN 14974.</w:t>
      </w:r>
    </w:p>
    <w:p>
      <w:pPr>
        <w:spacing w:after="100" w:before="200"/>
      </w:pPr>
      <w:r>
        <w:rPr>
          <w:rFonts w:ascii="Segoe UI" w:hAnsi="Segoe UI"/>
          <w:b/>
          <w:color w:val="33312D"/>
          <w:sz w:val="26"/>
        </w:rPr>
        <w:t>II. Toleranțe</w:t>
      </w:r>
    </w:p>
    <w:p>
      <w:pPr>
        <w:spacing w:after="40" w:before="0"/>
        <w:ind w:left="240"/>
      </w:pPr>
      <w:r>
        <w:rPr>
          <w:rFonts w:ascii="Segoe UI" w:hAnsi="Segoe UI"/>
          <w:b w:val="0"/>
          <w:color w:val="33312D"/>
          <w:sz w:val="19"/>
        </w:rPr>
        <w:t>1. Muchiile expuse protejate cu oțel galvanizat.</w:t>
      </w:r>
    </w:p>
    <w:p>
      <w:pPr>
        <w:spacing w:after="40" w:before="0"/>
        <w:ind w:left="240"/>
      </w:pPr>
      <w:r>
        <w:rPr>
          <w:rFonts w:ascii="Segoe UI" w:hAnsi="Segoe UI"/>
          <w:b w:val="0"/>
          <w:color w:val="33312D"/>
          <w:sz w:val="19"/>
        </w:rPr>
        <w:t>2. Copingurile pot ieși cu cel mult 12 mm peste suprafața blatului.</w:t>
      </w:r>
    </w:p>
    <w:p>
      <w:pPr>
        <w:spacing w:after="40" w:before="0"/>
        <w:ind w:left="240"/>
      </w:pPr>
      <w:r>
        <w:rPr>
          <w:rFonts w:ascii="Segoe UI" w:hAnsi="Segoe UI"/>
          <w:b w:val="0"/>
          <w:color w:val="33312D"/>
          <w:sz w:val="19"/>
        </w:rPr>
        <w:t>3. Razele nu pot varia cu mai mult de 20 mm față de cota stabilită.</w:t>
      </w:r>
    </w:p>
    <w:p>
      <w:pPr>
        <w:spacing w:after="40" w:before="0"/>
        <w:ind w:left="240"/>
      </w:pPr>
      <w:r>
        <w:rPr>
          <w:rFonts w:ascii="Segoe UI" w:hAnsi="Segoe UI"/>
          <w:b w:val="0"/>
          <w:color w:val="33312D"/>
          <w:sz w:val="19"/>
        </w:rPr>
        <w:t>4. Orificii pe orizontală la minimum 450 mm; la muchii, minimum 250 mm; simetrice la muchiile care se ating.</w:t>
      </w:r>
    </w:p>
    <w:p>
      <w:pPr>
        <w:spacing w:after="40" w:before="0"/>
        <w:ind w:left="240"/>
      </w:pPr>
      <w:r>
        <w:rPr>
          <w:rFonts w:ascii="Segoe UI" w:hAnsi="Segoe UI"/>
          <w:b w:val="0"/>
          <w:color w:val="33312D"/>
          <w:sz w:val="19"/>
        </w:rPr>
        <w:t>5. Dimensiunile de gabarit pot diferi cu 6% în funcție de unghiuri.</w:t>
      </w:r>
    </w:p>
    <w:p>
      <w:pPr>
        <w:spacing w:after="100" w:before="200"/>
      </w:pPr>
      <w:r>
        <w:rPr>
          <w:rFonts w:ascii="Segoe UI" w:hAnsi="Segoe UI"/>
          <w:b/>
          <w:color w:val="33312D"/>
          <w:sz w:val="26"/>
        </w:rPr>
        <w:t>III. Cunoștințe și experiență</w:t>
      </w:r>
    </w:p>
    <w:p>
      <w:pPr>
        <w:spacing w:after="80" w:before="0"/>
      </w:pPr>
      <w:r>
        <w:rPr>
          <w:rFonts w:ascii="Segoe UI" w:hAnsi="Segoe UI"/>
          <w:b w:val="0"/>
          <w:color w:val="33312D"/>
          <w:sz w:val="19"/>
        </w:rPr>
        <w:t>Skateparkul este un obiectiv cu risc ridicat de accidentare; execuția se încredințează doar firmelor cu experiență dovedită în construcția de skateparkuri (prin referințe).</w:t>
      </w:r>
    </w:p>
    <w:p>
      <w:pPr>
        <w:spacing w:after="100" w:before="200"/>
      </w:pPr>
      <w:r>
        <w:rPr>
          <w:rFonts w:ascii="Segoe UI" w:hAnsi="Segoe UI"/>
          <w:b/>
          <w:color w:val="33312D"/>
          <w:sz w:val="26"/>
        </w:rPr>
        <w:t>IV. Condițiile de garanție pentru opțiunea Prestige</w:t>
      </w:r>
    </w:p>
    <w:p>
      <w:pPr>
        <w:spacing w:after="80" w:before="0"/>
      </w:pPr>
      <w:r>
        <w:rPr>
          <w:rFonts w:ascii="Segoe UI" w:hAnsi="Segoe UI"/>
          <w:b w:val="0"/>
          <w:color w:val="33312D"/>
          <w:sz w:val="19"/>
        </w:rPr>
        <w:t>Varianta Prestige (suprafață de rulare RampLine) beneficiază de garanție extinsă pentru elementul de rulare și structură, cu respectarea condițiilor de întreținere.</w:t>
      </w:r>
    </w:p>
    <w:p>
      <w:pPr>
        <w:spacing w:after="100" w:before="200"/>
      </w:pPr>
      <w:r>
        <w:rPr>
          <w:rFonts w:ascii="Segoe UI" w:hAnsi="Segoe UI"/>
          <w:b/>
          <w:color w:val="33312D"/>
          <w:sz w:val="26"/>
        </w:rPr>
        <w:t>V. Lista anexelor</w:t>
      </w:r>
    </w:p>
    <w:p>
      <w:pPr>
        <w:spacing w:after="30" w:before="0"/>
        <w:ind w:left="240"/>
      </w:pPr>
      <w:r>
        <w:rPr>
          <w:rFonts w:ascii="Segoe UI" w:hAnsi="Segoe UI"/>
          <w:b w:val="0"/>
          <w:color w:val="33312D"/>
          <w:sz w:val="19"/>
        </w:rPr>
        <w:t>Anexa nr. 1 — Îmbinarea plăcilor de construcție și a modulelor</w:t>
      </w:r>
    </w:p>
    <w:p>
      <w:pPr>
        <w:spacing w:after="30" w:before="0"/>
        <w:ind w:left="240"/>
      </w:pPr>
      <w:r>
        <w:rPr>
          <w:rFonts w:ascii="Segoe UI" w:hAnsi="Segoe UI"/>
          <w:b w:val="0"/>
          <w:color w:val="33312D"/>
          <w:sz w:val="19"/>
        </w:rPr>
        <w:t>Anexa nr. 2 — Ventilația și izolarea elementelor</w:t>
      </w:r>
    </w:p>
    <w:p>
      <w:pPr>
        <w:spacing w:after="30" w:before="0"/>
        <w:ind w:left="240"/>
      </w:pPr>
      <w:r>
        <w:rPr>
          <w:rFonts w:ascii="Segoe UI" w:hAnsi="Segoe UI"/>
          <w:b w:val="0"/>
          <w:color w:val="33312D"/>
          <w:sz w:val="19"/>
        </w:rPr>
        <w:t>Anexa nr. 3 — Capac de vizitare pentru întreținere-inspecție</w:t>
      </w:r>
    </w:p>
    <w:p>
      <w:pPr>
        <w:spacing w:after="30" w:before="0"/>
        <w:ind w:left="240"/>
      </w:pPr>
      <w:r>
        <w:rPr>
          <w:rFonts w:ascii="Segoe UI" w:hAnsi="Segoe UI"/>
          <w:b w:val="0"/>
          <w:color w:val="33312D"/>
          <w:sz w:val="19"/>
        </w:rPr>
        <w:t>Anexa nr. 4 — Suprafața de rulare – muchii, șuruburi și orificii</w:t>
      </w:r>
    </w:p>
    <w:p>
      <w:pPr>
        <w:spacing w:after="30" w:before="0"/>
        <w:ind w:left="240"/>
      </w:pPr>
      <w:r>
        <w:rPr>
          <w:rFonts w:ascii="Segoe UI" w:hAnsi="Segoe UI"/>
          <w:b w:val="0"/>
          <w:color w:val="33312D"/>
          <w:sz w:val="19"/>
        </w:rPr>
        <w:t>Anexa nr. 5 — Placarea grindbox-urilor cu covor RampLine</w:t>
      </w:r>
    </w:p>
    <w:p>
      <w:pPr>
        <w:spacing w:after="30" w:before="0"/>
        <w:ind w:left="240"/>
      </w:pPr>
      <w:r>
        <w:rPr>
          <w:rFonts w:ascii="Segoe UI" w:hAnsi="Segoe UI"/>
          <w:b w:val="0"/>
          <w:color w:val="33312D"/>
          <w:sz w:val="19"/>
        </w:rPr>
        <w:t>Anexa nr. 6 — Balustrade</w:t>
      </w:r>
    </w:p>
    <w:p>
      <w:pPr>
        <w:spacing w:after="30" w:before="0"/>
        <w:ind w:left="240"/>
      </w:pPr>
      <w:r>
        <w:rPr>
          <w:rFonts w:ascii="Segoe UI" w:hAnsi="Segoe UI"/>
          <w:b w:val="0"/>
          <w:color w:val="33312D"/>
          <w:sz w:val="19"/>
        </w:rPr>
        <w:t>Anexa nr. 7 — Coping</w:t>
      </w:r>
    </w:p>
    <w:p>
      <w:pPr>
        <w:spacing w:after="30" w:before="0"/>
        <w:ind w:left="240"/>
      </w:pPr>
      <w:r>
        <w:rPr>
          <w:rFonts w:ascii="Segoe UI" w:hAnsi="Segoe UI"/>
          <w:b w:val="0"/>
          <w:color w:val="33312D"/>
          <w:sz w:val="19"/>
        </w:rPr>
        <w:t>Anexa nr. 8 — Tablă de acces</w:t>
      </w:r>
    </w:p>
    <w:p>
      <w:pPr>
        <w:spacing w:after="30" w:before="0"/>
        <w:ind w:left="240"/>
      </w:pPr>
      <w:r>
        <w:rPr>
          <w:rFonts w:ascii="Segoe UI" w:hAnsi="Segoe UI"/>
          <w:b w:val="0"/>
          <w:color w:val="33312D"/>
          <w:sz w:val="19"/>
        </w:rPr>
        <w:t>Anexa nr. 9 — Elemente din oțel – protecția muchiilor</w:t>
      </w:r>
    </w:p>
    <w:p>
      <w:pPr>
        <w:spacing w:after="30" w:before="0"/>
        <w:ind w:left="240"/>
      </w:pPr>
      <w:r>
        <w:rPr>
          <w:rFonts w:ascii="Segoe UI" w:hAnsi="Segoe UI"/>
          <w:b w:val="0"/>
          <w:color w:val="33312D"/>
          <w:sz w:val="19"/>
        </w:rPr>
        <w:t>Anexa nr. 10 — Cantul metalic al grindbox-urilor</w:t>
      </w:r>
    </w:p>
    <w:p>
      <w:pPr>
        <w:spacing w:after="30" w:before="0"/>
        <w:ind w:left="240"/>
      </w:pPr>
      <w:r>
        <w:rPr>
          <w:rFonts w:ascii="Segoe UI" w:hAnsi="Segoe UI"/>
          <w:b w:val="0"/>
          <w:color w:val="33312D"/>
          <w:sz w:val="19"/>
        </w:rPr>
        <w:t>Anexa nr. 11 — Instrucțiuni de utilizare și plăcuța de identificare</w:t>
      </w:r>
    </w:p>
    <w:p>
      <w:r>
        <w:br w:type="page"/>
      </w:r>
    </w:p>
    <w:p>
      <w:pPr>
        <w:spacing w:after="100" w:before="200"/>
      </w:pPr>
      <w:r>
        <w:rPr>
          <w:rFonts w:ascii="Segoe UI" w:hAnsi="Segoe UI"/>
          <w:b/>
          <w:color w:val="33312D"/>
          <w:sz w:val="36"/>
        </w:rPr>
        <w:t>Anexe tehnice</w:t>
      </w:r>
    </w:p>
    <w:p>
      <w:pPr>
        <w:spacing w:after="160" w:before="0"/>
      </w:pPr>
      <w:r>
        <w:rPr>
          <w:rFonts w:ascii="Segoe UI" w:hAnsi="Segoe UI"/>
          <w:b w:val="0"/>
          <w:color w:val="75736D"/>
          <w:sz w:val="20"/>
        </w:rPr>
        <w:t>Detalii de execuție și montaj — desene TechRamps, cu note explicative în limba română.</w:t>
      </w:r>
    </w:p>
    <w:p>
      <w:pPr>
        <w:spacing w:after="100" w:before="160"/>
      </w:pPr>
      <w:r>
        <w:rPr>
          <w:rFonts w:ascii="Segoe UI" w:hAnsi="Segoe UI"/>
          <w:b/>
          <w:color w:val="33312D"/>
          <w:sz w:val="26"/>
        </w:rPr>
        <w:t>Anexa nr. 1 – Îmbinarea plăcilor de construcție și a modulelor.</w:t>
      </w:r>
    </w:p>
    <w:p>
      <w:pPr>
        <w:jc w:val="center"/>
      </w:pPr>
      <w:r>
        <w:drawing>
          <wp:inline xmlns:a="http://schemas.openxmlformats.org/drawingml/2006/main" xmlns:pic="http://schemas.openxmlformats.org/drawingml/2006/picture">
            <wp:extent cx="4937760" cy="3495759"/>
            <wp:docPr id="8" name="Picture 8"/>
            <wp:cNvGraphicFramePr>
              <a:graphicFrameLocks noChangeAspect="1"/>
            </wp:cNvGraphicFramePr>
            <a:graphic>
              <a:graphicData uri="http://schemas.openxmlformats.org/drawingml/2006/picture">
                <pic:pic>
                  <pic:nvPicPr>
                    <pic:cNvPr id="0" name="image.jpg"/>
                    <pic:cNvPicPr/>
                  </pic:nvPicPr>
                  <pic:blipFill>
                    <a:blip r:embed="rId18"/>
                    <a:stretch>
                      <a:fillRect/>
                    </a:stretch>
                  </pic:blipFill>
                  <pic:spPr>
                    <a:xfrm>
                      <a:off x="0" y="0"/>
                      <a:ext cx="4937760" cy="3495759"/>
                    </a:xfrm>
                    <a:prstGeom prst="rect"/>
                  </pic:spPr>
                </pic:pic>
              </a:graphicData>
            </a:graphic>
          </wp:inline>
        </w:drawing>
      </w:r>
    </w:p>
    <w:p>
      <w:pPr>
        <w:spacing w:after="20" w:before="0"/>
      </w:pPr>
      <w:r>
        <w:rPr>
          <w:rFonts w:ascii="Segoe UI" w:hAnsi="Segoe UI"/>
          <w:b/>
          <w:color w:val="5A9118"/>
          <w:sz w:val="18"/>
        </w:rPr>
        <w:t>Notă tehnică</w:t>
      </w:r>
    </w:p>
    <w:p>
      <w:pPr>
        <w:spacing w:after="80" w:before="0"/>
      </w:pPr>
      <w:r>
        <w:rPr>
          <w:rFonts w:ascii="Segoe UI" w:hAnsi="Segoe UI"/>
          <w:b w:val="0"/>
          <w:color w:val="33312D"/>
          <w:sz w:val="19"/>
        </w:rPr>
        <w:t>Plăcile portante se prelungesc prin îmbinare în formă de puzzle sau cu eclise, pentru a evita separarea sub sarcini și tensiuni mari. Modulele se înșurubează între ele cu șuruburi galvanizate M12 și eclise din placaj de minimum 18 mm.</w:t>
      </w:r>
    </w:p>
    <w:p>
      <w:r>
        <w:br w:type="page"/>
      </w:r>
    </w:p>
    <w:p>
      <w:pPr>
        <w:spacing w:after="100" w:before="160"/>
      </w:pPr>
      <w:r>
        <w:rPr>
          <w:rFonts w:ascii="Segoe UI" w:hAnsi="Segoe UI"/>
          <w:b/>
          <w:color w:val="33312D"/>
          <w:sz w:val="26"/>
        </w:rPr>
        <w:t>Anexa nr. 2 – Ventilația și izolarea elementelor</w:t>
      </w:r>
    </w:p>
    <w:p>
      <w:pPr>
        <w:jc w:val="center"/>
      </w:pPr>
      <w:r>
        <w:drawing>
          <wp:inline xmlns:a="http://schemas.openxmlformats.org/drawingml/2006/main" xmlns:pic="http://schemas.openxmlformats.org/drawingml/2006/picture">
            <wp:extent cx="4937760" cy="3476847"/>
            <wp:docPr id="9" name="Picture 9"/>
            <wp:cNvGraphicFramePr>
              <a:graphicFrameLocks noChangeAspect="1"/>
            </wp:cNvGraphicFramePr>
            <a:graphic>
              <a:graphicData uri="http://schemas.openxmlformats.org/drawingml/2006/picture">
                <pic:pic>
                  <pic:nvPicPr>
                    <pic:cNvPr id="0" name="image.png"/>
                    <pic:cNvPicPr/>
                  </pic:nvPicPr>
                  <pic:blipFill>
                    <a:blip r:embed="rId19"/>
                    <a:stretch>
                      <a:fillRect/>
                    </a:stretch>
                  </pic:blipFill>
                  <pic:spPr>
                    <a:xfrm>
                      <a:off x="0" y="0"/>
                      <a:ext cx="4937760" cy="3476847"/>
                    </a:xfrm>
                    <a:prstGeom prst="rect"/>
                  </pic:spPr>
                </pic:pic>
              </a:graphicData>
            </a:graphic>
          </wp:inline>
        </w:drawing>
      </w:r>
    </w:p>
    <w:p>
      <w:pPr>
        <w:spacing w:after="20" w:before="0"/>
      </w:pPr>
      <w:r>
        <w:rPr>
          <w:rFonts w:ascii="Segoe UI" w:hAnsi="Segoe UI"/>
          <w:b/>
          <w:color w:val="5A9118"/>
          <w:sz w:val="18"/>
        </w:rPr>
        <w:t>Notă tehnică</w:t>
      </w:r>
    </w:p>
    <w:p>
      <w:pPr>
        <w:spacing w:after="80" w:before="0"/>
      </w:pPr>
      <w:r>
        <w:rPr>
          <w:rFonts w:ascii="Segoe UI" w:hAnsi="Segoe UI"/>
          <w:b w:val="0"/>
          <w:color w:val="33312D"/>
          <w:sz w:val="19"/>
        </w:rPr>
        <w:t>Pe panourile laterale se montează un sistem de ventilație din HPL de 6 mm, iar elementele stau pe picioare de sprijin care le izolează de sol și elimină absorbția umidității (ascensiunea capilară).</w:t>
      </w:r>
    </w:p>
    <w:p>
      <w:r>
        <w:br w:type="page"/>
      </w:r>
    </w:p>
    <w:p>
      <w:pPr>
        <w:spacing w:after="100" w:before="160"/>
      </w:pPr>
      <w:r>
        <w:rPr>
          <w:rFonts w:ascii="Segoe UI" w:hAnsi="Segoe UI"/>
          <w:b/>
          <w:color w:val="33312D"/>
          <w:sz w:val="26"/>
        </w:rPr>
        <w:t>Anexa nr. 3 – Capac de vizitare pentru întreținere-inspecție.</w:t>
      </w:r>
    </w:p>
    <w:p>
      <w:pPr>
        <w:jc w:val="center"/>
      </w:pPr>
      <w:r>
        <w:drawing>
          <wp:inline xmlns:a="http://schemas.openxmlformats.org/drawingml/2006/main" xmlns:pic="http://schemas.openxmlformats.org/drawingml/2006/picture">
            <wp:extent cx="4937760" cy="3495759"/>
            <wp:docPr id="10" name="Picture 10"/>
            <wp:cNvGraphicFramePr>
              <a:graphicFrameLocks noChangeAspect="1"/>
            </wp:cNvGraphicFramePr>
            <a:graphic>
              <a:graphicData uri="http://schemas.openxmlformats.org/drawingml/2006/picture">
                <pic:pic>
                  <pic:nvPicPr>
                    <pic:cNvPr id="0" name="image.jpg"/>
                    <pic:cNvPicPr/>
                  </pic:nvPicPr>
                  <pic:blipFill>
                    <a:blip r:embed="rId20"/>
                    <a:stretch>
                      <a:fillRect/>
                    </a:stretch>
                  </pic:blipFill>
                  <pic:spPr>
                    <a:xfrm>
                      <a:off x="0" y="0"/>
                      <a:ext cx="4937760" cy="3495759"/>
                    </a:xfrm>
                    <a:prstGeom prst="rect"/>
                  </pic:spPr>
                </pic:pic>
              </a:graphicData>
            </a:graphic>
          </wp:inline>
        </w:drawing>
      </w:r>
    </w:p>
    <w:p>
      <w:pPr>
        <w:spacing w:after="20" w:before="0"/>
      </w:pPr>
      <w:r>
        <w:rPr>
          <w:rFonts w:ascii="Segoe UI" w:hAnsi="Segoe UI"/>
          <w:b/>
          <w:color w:val="5A9118"/>
          <w:sz w:val="18"/>
        </w:rPr>
        <w:t>Notă tehnică</w:t>
      </w:r>
    </w:p>
    <w:p>
      <w:pPr>
        <w:spacing w:after="80" w:before="0"/>
      </w:pPr>
      <w:r>
        <w:rPr>
          <w:rFonts w:ascii="Segoe UI" w:hAnsi="Segoe UI"/>
          <w:b w:val="0"/>
          <w:color w:val="33312D"/>
          <w:sz w:val="19"/>
        </w:rPr>
        <w:t>Elementele mai înalte de 1 m și mai late de 1,8 m sunt prevăzute cu un capac de vizitare pentru inspecție și întreținere.</w:t>
      </w:r>
    </w:p>
    <w:p>
      <w:r>
        <w:br w:type="page"/>
      </w:r>
    </w:p>
    <w:p>
      <w:pPr>
        <w:spacing w:after="100" w:before="160"/>
      </w:pPr>
      <w:r>
        <w:rPr>
          <w:rFonts w:ascii="Segoe UI" w:hAnsi="Segoe UI"/>
          <w:b/>
          <w:color w:val="33312D"/>
          <w:sz w:val="26"/>
        </w:rPr>
        <w:t>Anexa nr. 4 – Suprafața de rulare – muchii, șuruburi și orificii pentru șuruburi.</w:t>
      </w:r>
    </w:p>
    <w:p>
      <w:pPr>
        <w:jc w:val="center"/>
      </w:pPr>
      <w:r>
        <w:drawing>
          <wp:inline xmlns:a="http://schemas.openxmlformats.org/drawingml/2006/main" xmlns:pic="http://schemas.openxmlformats.org/drawingml/2006/picture">
            <wp:extent cx="4937760" cy="3495759"/>
            <wp:docPr id="11" name="Picture 11"/>
            <wp:cNvGraphicFramePr>
              <a:graphicFrameLocks noChangeAspect="1"/>
            </wp:cNvGraphicFramePr>
            <a:graphic>
              <a:graphicData uri="http://schemas.openxmlformats.org/drawingml/2006/picture">
                <pic:pic>
                  <pic:nvPicPr>
                    <pic:cNvPr id="0" name="image.jpg"/>
                    <pic:cNvPicPr/>
                  </pic:nvPicPr>
                  <pic:blipFill>
                    <a:blip r:embed="rId21"/>
                    <a:stretch>
                      <a:fillRect/>
                    </a:stretch>
                  </pic:blipFill>
                  <pic:spPr>
                    <a:xfrm>
                      <a:off x="0" y="0"/>
                      <a:ext cx="4937760" cy="3495759"/>
                    </a:xfrm>
                    <a:prstGeom prst="rect"/>
                  </pic:spPr>
                </pic:pic>
              </a:graphicData>
            </a:graphic>
          </wp:inline>
        </w:drawing>
      </w:r>
    </w:p>
    <w:p>
      <w:pPr>
        <w:spacing w:after="20" w:before="0"/>
      </w:pPr>
      <w:r>
        <w:rPr>
          <w:rFonts w:ascii="Segoe UI" w:hAnsi="Segoe UI"/>
          <w:b/>
          <w:color w:val="5A9118"/>
          <w:sz w:val="18"/>
        </w:rPr>
        <w:t>Notă tehnică</w:t>
      </w:r>
    </w:p>
    <w:p>
      <w:pPr>
        <w:spacing w:after="80" w:before="0"/>
      </w:pPr>
      <w:r>
        <w:rPr>
          <w:rFonts w:ascii="Segoe UI" w:hAnsi="Segoe UI"/>
          <w:b w:val="0"/>
          <w:color w:val="33312D"/>
          <w:sz w:val="19"/>
        </w:rPr>
        <w:t>Suprafața de rulare RampLine se fixează cu șuruburi îngropate la maximum 1 mm; minimum 90% dintre orificii sunt alezate, iar muchiile teșite cu mașina CNC. Rosturile dintre plăci se etanșează cu masă de etanșare-lipire.</w:t>
      </w:r>
    </w:p>
    <w:p>
      <w:r>
        <w:br w:type="page"/>
      </w:r>
    </w:p>
    <w:p>
      <w:pPr>
        <w:spacing w:after="100" w:before="160"/>
      </w:pPr>
      <w:r>
        <w:rPr>
          <w:rFonts w:ascii="Segoe UI" w:hAnsi="Segoe UI"/>
          <w:b/>
          <w:color w:val="33312D"/>
          <w:sz w:val="26"/>
        </w:rPr>
        <w:t>Anexa nr. 5 – Placarea grindbox-urilor cu covor RampLine.</w:t>
      </w:r>
    </w:p>
    <w:p>
      <w:pPr>
        <w:jc w:val="center"/>
      </w:pPr>
      <w:r>
        <w:drawing>
          <wp:inline xmlns:a="http://schemas.openxmlformats.org/drawingml/2006/main" xmlns:pic="http://schemas.openxmlformats.org/drawingml/2006/picture">
            <wp:extent cx="4937760" cy="3436883"/>
            <wp:docPr id="12" name="Picture 12"/>
            <wp:cNvGraphicFramePr>
              <a:graphicFrameLocks noChangeAspect="1"/>
            </wp:cNvGraphicFramePr>
            <a:graphic>
              <a:graphicData uri="http://schemas.openxmlformats.org/drawingml/2006/picture">
                <pic:pic>
                  <pic:nvPicPr>
                    <pic:cNvPr id="0" name="image.jpg"/>
                    <pic:cNvPicPr/>
                  </pic:nvPicPr>
                  <pic:blipFill>
                    <a:blip r:embed="rId22"/>
                    <a:stretch>
                      <a:fillRect/>
                    </a:stretch>
                  </pic:blipFill>
                  <pic:spPr>
                    <a:xfrm>
                      <a:off x="0" y="0"/>
                      <a:ext cx="4937760" cy="3436883"/>
                    </a:xfrm>
                    <a:prstGeom prst="rect"/>
                  </pic:spPr>
                </pic:pic>
              </a:graphicData>
            </a:graphic>
          </wp:inline>
        </w:drawing>
      </w:r>
    </w:p>
    <w:p>
      <w:pPr>
        <w:spacing w:after="20" w:before="0"/>
      </w:pPr>
      <w:r>
        <w:rPr>
          <w:rFonts w:ascii="Segoe UI" w:hAnsi="Segoe UI"/>
          <w:b/>
          <w:color w:val="5A9118"/>
          <w:sz w:val="18"/>
        </w:rPr>
        <w:t>Notă tehnică</w:t>
      </w:r>
    </w:p>
    <w:p>
      <w:pPr>
        <w:spacing w:after="80" w:before="0"/>
      </w:pPr>
      <w:r>
        <w:rPr>
          <w:rFonts w:ascii="Segoe UI" w:hAnsi="Segoe UI"/>
          <w:b w:val="0"/>
          <w:color w:val="33312D"/>
          <w:sz w:val="19"/>
        </w:rPr>
        <w:t>Grindbox-urile se protejează suplimentar pe fiecare latură de rulare cu covor RampLine de 6 mm (excepție: latura care, din cauza amplasării, nu poate fi folosită).</w:t>
      </w:r>
    </w:p>
    <w:p>
      <w:r>
        <w:br w:type="page"/>
      </w:r>
    </w:p>
    <w:p>
      <w:pPr>
        <w:spacing w:after="100" w:before="160"/>
      </w:pPr>
      <w:r>
        <w:rPr>
          <w:rFonts w:ascii="Segoe UI" w:hAnsi="Segoe UI"/>
          <w:b/>
          <w:color w:val="33312D"/>
          <w:sz w:val="26"/>
        </w:rPr>
        <w:t>Anexa nr. 6 – Balustrade.</w:t>
      </w:r>
    </w:p>
    <w:p>
      <w:pPr>
        <w:jc w:val="center"/>
      </w:pPr>
      <w:r>
        <w:drawing>
          <wp:inline xmlns:a="http://schemas.openxmlformats.org/drawingml/2006/main" xmlns:pic="http://schemas.openxmlformats.org/drawingml/2006/picture">
            <wp:extent cx="4937760" cy="3479163"/>
            <wp:docPr id="13" name="Picture 13"/>
            <wp:cNvGraphicFramePr>
              <a:graphicFrameLocks noChangeAspect="1"/>
            </wp:cNvGraphicFramePr>
            <a:graphic>
              <a:graphicData uri="http://schemas.openxmlformats.org/drawingml/2006/picture">
                <pic:pic>
                  <pic:nvPicPr>
                    <pic:cNvPr id="0" name="image.jpg"/>
                    <pic:cNvPicPr/>
                  </pic:nvPicPr>
                  <pic:blipFill>
                    <a:blip r:embed="rId23"/>
                    <a:stretch>
                      <a:fillRect/>
                    </a:stretch>
                  </pic:blipFill>
                  <pic:spPr>
                    <a:xfrm>
                      <a:off x="0" y="0"/>
                      <a:ext cx="4937760" cy="3479163"/>
                    </a:xfrm>
                    <a:prstGeom prst="rect"/>
                  </pic:spPr>
                </pic:pic>
              </a:graphicData>
            </a:graphic>
          </wp:inline>
        </w:drawing>
      </w:r>
    </w:p>
    <w:p>
      <w:pPr>
        <w:spacing w:after="20" w:before="0"/>
      </w:pPr>
      <w:r>
        <w:rPr>
          <w:rFonts w:ascii="Segoe UI" w:hAnsi="Segoe UI"/>
          <w:b/>
          <w:color w:val="5A9118"/>
          <w:sz w:val="18"/>
        </w:rPr>
        <w:t>Notă tehnică</w:t>
      </w:r>
    </w:p>
    <w:p>
      <w:pPr>
        <w:spacing w:after="80" w:before="0"/>
      </w:pPr>
      <w:r>
        <w:rPr>
          <w:rFonts w:ascii="Segoe UI" w:hAnsi="Segoe UI"/>
          <w:b w:val="0"/>
          <w:color w:val="33312D"/>
          <w:sz w:val="19"/>
        </w:rPr>
        <w:t>Balustrade de protecție din oțel galvanizat — profile 30×30 mm și țevi Ø16 mm, înălțime minimă 1,2 m peste platformă, cu traverse verticale. Spațiul liber dintre traverse nu depășește 89 mm.</w:t>
      </w:r>
    </w:p>
    <w:p>
      <w:r>
        <w:br w:type="page"/>
      </w:r>
    </w:p>
    <w:p>
      <w:pPr>
        <w:spacing w:after="100" w:before="160"/>
      </w:pPr>
      <w:r>
        <w:rPr>
          <w:rFonts w:ascii="Segoe UI" w:hAnsi="Segoe UI"/>
          <w:b/>
          <w:color w:val="33312D"/>
          <w:sz w:val="26"/>
        </w:rPr>
        <w:t>Anexa nr. 7 – Coping.</w:t>
      </w:r>
    </w:p>
    <w:p>
      <w:pPr>
        <w:jc w:val="center"/>
      </w:pPr>
      <w:r>
        <w:drawing>
          <wp:inline xmlns:a="http://schemas.openxmlformats.org/drawingml/2006/main" xmlns:pic="http://schemas.openxmlformats.org/drawingml/2006/picture">
            <wp:extent cx="4937760" cy="3460173"/>
            <wp:docPr id="14" name="Picture 14"/>
            <wp:cNvGraphicFramePr>
              <a:graphicFrameLocks noChangeAspect="1"/>
            </wp:cNvGraphicFramePr>
            <a:graphic>
              <a:graphicData uri="http://schemas.openxmlformats.org/drawingml/2006/picture">
                <pic:pic>
                  <pic:nvPicPr>
                    <pic:cNvPr id="0" name="image.png"/>
                    <pic:cNvPicPr/>
                  </pic:nvPicPr>
                  <pic:blipFill>
                    <a:blip r:embed="rId24"/>
                    <a:stretch>
                      <a:fillRect/>
                    </a:stretch>
                  </pic:blipFill>
                  <pic:spPr>
                    <a:xfrm>
                      <a:off x="0" y="0"/>
                      <a:ext cx="4937760" cy="3460173"/>
                    </a:xfrm>
                    <a:prstGeom prst="rect"/>
                  </pic:spPr>
                </pic:pic>
              </a:graphicData>
            </a:graphic>
          </wp:inline>
        </w:drawing>
      </w:r>
    </w:p>
    <w:p>
      <w:pPr>
        <w:spacing w:after="20" w:before="0"/>
      </w:pPr>
      <w:r>
        <w:rPr>
          <w:rFonts w:ascii="Segoe UI" w:hAnsi="Segoe UI"/>
          <w:b/>
          <w:color w:val="5A9118"/>
          <w:sz w:val="18"/>
        </w:rPr>
        <w:t>Notă tehnică</w:t>
      </w:r>
    </w:p>
    <w:p>
      <w:pPr>
        <w:spacing w:after="80" w:before="0"/>
      </w:pPr>
      <w:r>
        <w:rPr>
          <w:rFonts w:ascii="Segoe UI" w:hAnsi="Segoe UI"/>
          <w:b w:val="0"/>
          <w:color w:val="33312D"/>
          <w:sz w:val="19"/>
        </w:rPr>
        <w:t>Copingul — țeavă de oțel galvanizat Ø48–60,3 mm — se astupă la capete cu dopuri de oțel. Pe platforme se protejează cu table de 3 mm și lățime 120 mm de-a lungul copingului.</w:t>
      </w:r>
    </w:p>
    <w:p>
      <w:r>
        <w:br w:type="page"/>
      </w:r>
    </w:p>
    <w:p>
      <w:pPr>
        <w:spacing w:after="100" w:before="160"/>
      </w:pPr>
      <w:r>
        <w:rPr>
          <w:rFonts w:ascii="Segoe UI" w:hAnsi="Segoe UI"/>
          <w:b/>
          <w:color w:val="33312D"/>
          <w:sz w:val="26"/>
        </w:rPr>
        <w:t>Anexa nr. 8 – Tablă de acces.</w:t>
      </w:r>
    </w:p>
    <w:p>
      <w:pPr>
        <w:jc w:val="center"/>
      </w:pPr>
      <w:r>
        <w:drawing>
          <wp:inline xmlns:a="http://schemas.openxmlformats.org/drawingml/2006/main" xmlns:pic="http://schemas.openxmlformats.org/drawingml/2006/picture">
            <wp:extent cx="4937760" cy="3460173"/>
            <wp:docPr id="15" name="Picture 15"/>
            <wp:cNvGraphicFramePr>
              <a:graphicFrameLocks noChangeAspect="1"/>
            </wp:cNvGraphicFramePr>
            <a:graphic>
              <a:graphicData uri="http://schemas.openxmlformats.org/drawingml/2006/picture">
                <pic:pic>
                  <pic:nvPicPr>
                    <pic:cNvPr id="0" name="image.png"/>
                    <pic:cNvPicPr/>
                  </pic:nvPicPr>
                  <pic:blipFill>
                    <a:blip r:embed="rId25"/>
                    <a:stretch>
                      <a:fillRect/>
                    </a:stretch>
                  </pic:blipFill>
                  <pic:spPr>
                    <a:xfrm>
                      <a:off x="0" y="0"/>
                      <a:ext cx="4937760" cy="3460173"/>
                    </a:xfrm>
                    <a:prstGeom prst="rect"/>
                  </pic:spPr>
                </pic:pic>
              </a:graphicData>
            </a:graphic>
          </wp:inline>
        </w:drawing>
      </w:r>
    </w:p>
    <w:p>
      <w:pPr>
        <w:spacing w:after="20" w:before="0"/>
      </w:pPr>
      <w:r>
        <w:rPr>
          <w:rFonts w:ascii="Segoe UI" w:hAnsi="Segoe UI"/>
          <w:b/>
          <w:color w:val="5A9118"/>
          <w:sz w:val="18"/>
        </w:rPr>
        <w:t>Notă tehnică</w:t>
      </w:r>
    </w:p>
    <w:p>
      <w:pPr>
        <w:spacing w:after="80" w:before="0"/>
      </w:pPr>
      <w:r>
        <w:rPr>
          <w:rFonts w:ascii="Segoe UI" w:hAnsi="Segoe UI"/>
          <w:b w:val="0"/>
          <w:color w:val="33312D"/>
          <w:sz w:val="19"/>
        </w:rPr>
        <w:t>Tabla de acces (lățime 350–400 mm, grosime 3 mm) se sprijină pe element minimum 60 mm, într-un locaș frezat, creând o linie de rulare liberă și lină.</w:t>
      </w:r>
    </w:p>
    <w:p>
      <w:r>
        <w:br w:type="page"/>
      </w:r>
    </w:p>
    <w:p>
      <w:pPr>
        <w:spacing w:after="100" w:before="160"/>
      </w:pPr>
      <w:r>
        <w:rPr>
          <w:rFonts w:ascii="Segoe UI" w:hAnsi="Segoe UI"/>
          <w:b/>
          <w:color w:val="33312D"/>
          <w:sz w:val="26"/>
        </w:rPr>
        <w:t>Anexa nr. 9 – Elemente din oțel – protecția muchiilor.</w:t>
      </w:r>
    </w:p>
    <w:p>
      <w:pPr>
        <w:jc w:val="center"/>
      </w:pPr>
      <w:r>
        <w:drawing>
          <wp:inline xmlns:a="http://schemas.openxmlformats.org/drawingml/2006/main" xmlns:pic="http://schemas.openxmlformats.org/drawingml/2006/picture">
            <wp:extent cx="4937760" cy="3453287"/>
            <wp:docPr id="16" name="Picture 16"/>
            <wp:cNvGraphicFramePr>
              <a:graphicFrameLocks noChangeAspect="1"/>
            </wp:cNvGraphicFramePr>
            <a:graphic>
              <a:graphicData uri="http://schemas.openxmlformats.org/drawingml/2006/picture">
                <pic:pic>
                  <pic:nvPicPr>
                    <pic:cNvPr id="0" name="image.png"/>
                    <pic:cNvPicPr/>
                  </pic:nvPicPr>
                  <pic:blipFill>
                    <a:blip r:embed="rId26"/>
                    <a:stretch>
                      <a:fillRect/>
                    </a:stretch>
                  </pic:blipFill>
                  <pic:spPr>
                    <a:xfrm>
                      <a:off x="0" y="0"/>
                      <a:ext cx="4937760" cy="3453287"/>
                    </a:xfrm>
                    <a:prstGeom prst="rect"/>
                  </pic:spPr>
                </pic:pic>
              </a:graphicData>
            </a:graphic>
          </wp:inline>
        </w:drawing>
      </w:r>
    </w:p>
    <w:p>
      <w:pPr>
        <w:spacing w:after="20" w:before="0"/>
      </w:pPr>
      <w:r>
        <w:rPr>
          <w:rFonts w:ascii="Segoe UI" w:hAnsi="Segoe UI"/>
          <w:b/>
          <w:color w:val="5A9118"/>
          <w:sz w:val="18"/>
        </w:rPr>
        <w:t>Notă tehnică</w:t>
      </w:r>
    </w:p>
    <w:p>
      <w:pPr>
        <w:spacing w:after="80" w:before="0"/>
      </w:pPr>
      <w:r>
        <w:rPr>
          <w:rFonts w:ascii="Segoe UI" w:hAnsi="Segoe UI"/>
          <w:b w:val="0"/>
          <w:color w:val="33312D"/>
          <w:sz w:val="19"/>
        </w:rPr>
        <w:t>Muchiile expuse se protejează cu corniere din oțel galvanizat (minimum 30×30×3 mm). Pe elementele curbe cornierele sunt laminate — nu se taie și nu se folosesc platbande.</w:t>
      </w:r>
    </w:p>
    <w:p>
      <w:r>
        <w:br w:type="page"/>
      </w:r>
    </w:p>
    <w:p>
      <w:pPr>
        <w:spacing w:after="100" w:before="160"/>
      </w:pPr>
      <w:r>
        <w:rPr>
          <w:rFonts w:ascii="Segoe UI" w:hAnsi="Segoe UI"/>
          <w:b/>
          <w:color w:val="33312D"/>
          <w:sz w:val="26"/>
        </w:rPr>
        <w:t>Anexa nr. 10 – Cantul metalic al grindbox-urilor.</w:t>
      </w:r>
    </w:p>
    <w:p>
      <w:pPr>
        <w:jc w:val="center"/>
      </w:pPr>
      <w:r>
        <w:drawing>
          <wp:inline xmlns:a="http://schemas.openxmlformats.org/drawingml/2006/main" xmlns:pic="http://schemas.openxmlformats.org/drawingml/2006/picture">
            <wp:extent cx="4937760" cy="3451457"/>
            <wp:docPr id="17" name="Picture 17"/>
            <wp:cNvGraphicFramePr>
              <a:graphicFrameLocks noChangeAspect="1"/>
            </wp:cNvGraphicFramePr>
            <a:graphic>
              <a:graphicData uri="http://schemas.openxmlformats.org/drawingml/2006/picture">
                <pic:pic>
                  <pic:nvPicPr>
                    <pic:cNvPr id="0" name="image.png"/>
                    <pic:cNvPicPr/>
                  </pic:nvPicPr>
                  <pic:blipFill>
                    <a:blip r:embed="rId27"/>
                    <a:stretch>
                      <a:fillRect/>
                    </a:stretch>
                  </pic:blipFill>
                  <pic:spPr>
                    <a:xfrm>
                      <a:off x="0" y="0"/>
                      <a:ext cx="4937760" cy="3451457"/>
                    </a:xfrm>
                    <a:prstGeom prst="rect"/>
                  </pic:spPr>
                </pic:pic>
              </a:graphicData>
            </a:graphic>
          </wp:inline>
        </w:drawing>
      </w:r>
    </w:p>
    <w:p>
      <w:pPr>
        <w:spacing w:after="20" w:before="0"/>
      </w:pPr>
      <w:r>
        <w:rPr>
          <w:rFonts w:ascii="Segoe UI" w:hAnsi="Segoe UI"/>
          <w:b/>
          <w:color w:val="5A9118"/>
          <w:sz w:val="18"/>
        </w:rPr>
        <w:t>Notă tehnică</w:t>
      </w:r>
    </w:p>
    <w:p>
      <w:pPr>
        <w:spacing w:after="80" w:before="0"/>
      </w:pPr>
      <w:r>
        <w:rPr>
          <w:rFonts w:ascii="Segoe UI" w:hAnsi="Segoe UI"/>
          <w:b w:val="0"/>
          <w:color w:val="33312D"/>
          <w:sz w:val="19"/>
        </w:rPr>
        <w:t>Cantul metalic al grindbox-urilor se execută din cornier de minimum 50×50 mm, cu grosimea peretelui de cel puțin 3 mm, încastrat la nivel cu placa pe latura scurtă.</w:t>
      </w:r>
    </w:p>
    <w:p>
      <w:r>
        <w:br w:type="page"/>
      </w:r>
    </w:p>
    <w:p>
      <w:pPr>
        <w:spacing w:after="100" w:before="160"/>
      </w:pPr>
      <w:r>
        <w:rPr>
          <w:rFonts w:ascii="Segoe UI" w:hAnsi="Segoe UI"/>
          <w:b/>
          <w:color w:val="33312D"/>
          <w:sz w:val="26"/>
        </w:rPr>
        <w:t>Anexa nr. 11 – Instrucțiuni de utilizare a skateparkului și plăcuțe de identificare.</w:t>
      </w:r>
    </w:p>
    <w:p>
      <w:pPr>
        <w:jc w:val="center"/>
      </w:pPr>
      <w:r>
        <w:drawing>
          <wp:inline xmlns:a="http://schemas.openxmlformats.org/drawingml/2006/main" xmlns:pic="http://schemas.openxmlformats.org/drawingml/2006/picture">
            <wp:extent cx="4937760" cy="4704611"/>
            <wp:docPr id="18" name="Picture 18"/>
            <wp:cNvGraphicFramePr>
              <a:graphicFrameLocks noChangeAspect="1"/>
            </wp:cNvGraphicFramePr>
            <a:graphic>
              <a:graphicData uri="http://schemas.openxmlformats.org/drawingml/2006/picture">
                <pic:pic>
                  <pic:nvPicPr>
                    <pic:cNvPr id="0" name="image.png"/>
                    <pic:cNvPicPr/>
                  </pic:nvPicPr>
                  <pic:blipFill>
                    <a:blip r:embed="rId28"/>
                    <a:stretch>
                      <a:fillRect/>
                    </a:stretch>
                  </pic:blipFill>
                  <pic:spPr>
                    <a:xfrm>
                      <a:off x="0" y="0"/>
                      <a:ext cx="4937760" cy="4704611"/>
                    </a:xfrm>
                    <a:prstGeom prst="rect"/>
                  </pic:spPr>
                </pic:pic>
              </a:graphicData>
            </a:graphic>
          </wp:inline>
        </w:drawing>
      </w:r>
    </w:p>
    <w:p>
      <w:pPr>
        <w:spacing w:after="20" w:before="0"/>
      </w:pPr>
      <w:r>
        <w:rPr>
          <w:rFonts w:ascii="Segoe UI" w:hAnsi="Segoe UI"/>
          <w:b/>
          <w:color w:val="5A9118"/>
          <w:sz w:val="18"/>
        </w:rPr>
        <w:t>Notă tehnică</w:t>
      </w:r>
    </w:p>
    <w:p>
      <w:pPr>
        <w:spacing w:after="80" w:before="0"/>
      </w:pPr>
      <w:r>
        <w:rPr>
          <w:rFonts w:ascii="Segoe UI" w:hAnsi="Segoe UI"/>
          <w:b w:val="0"/>
          <w:color w:val="33312D"/>
          <w:sz w:val="19"/>
        </w:rPr>
        <w:t>La intrarea în skatepark se montează, într-un loc vizibil, instrucțiunile de utilizare și plăcuța de identificare a echipamentului (model mai jos).</w:t>
      </w:r>
    </w:p>
    <w:p>
      <w:pPr>
        <w:spacing w:after="20" w:before="0"/>
      </w:pPr>
      <w:r>
        <w:rPr>
          <w:rFonts w:ascii="Segoe UI" w:hAnsi="Segoe UI"/>
          <w:b/>
          <w:color w:val="5A9118"/>
          <w:sz w:val="18"/>
        </w:rPr>
        <w:t>Model plăcuță de identificare</w:t>
      </w:r>
    </w:p>
    <w:p>
      <w:pPr>
        <w:jc w:val="center"/>
      </w:pPr>
      <w:r>
        <w:drawing>
          <wp:inline xmlns:a="http://schemas.openxmlformats.org/drawingml/2006/main" xmlns:pic="http://schemas.openxmlformats.org/drawingml/2006/picture">
            <wp:extent cx="2377440" cy="1472913"/>
            <wp:docPr id="19" name="Picture 19"/>
            <wp:cNvGraphicFramePr>
              <a:graphicFrameLocks noChangeAspect="1"/>
            </wp:cNvGraphicFramePr>
            <a:graphic>
              <a:graphicData uri="http://schemas.openxmlformats.org/drawingml/2006/picture">
                <pic:pic>
                  <pic:nvPicPr>
                    <pic:cNvPr id="0" name="image.jpg"/>
                    <pic:cNvPicPr/>
                  </pic:nvPicPr>
                  <pic:blipFill>
                    <a:blip r:embed="rId29"/>
                    <a:stretch>
                      <a:fillRect/>
                    </a:stretch>
                  </pic:blipFill>
                  <pic:spPr>
                    <a:xfrm>
                      <a:off x="0" y="0"/>
                      <a:ext cx="2377440" cy="1472913"/>
                    </a:xfrm>
                    <a:prstGeom prst="rect"/>
                  </pic:spPr>
                </pic:pic>
              </a:graphicData>
            </a:graphic>
          </wp:inline>
        </w:drawing>
      </w:r>
    </w:p>
    <w:p>
      <w:r>
        <w:br w:type="page"/>
      </w:r>
    </w:p>
    <w:p>
      <w:pPr>
        <w:spacing w:after="100" w:before="200"/>
      </w:pPr>
      <w:r>
        <w:rPr>
          <w:rFonts w:ascii="Segoe UI" w:hAnsi="Segoe UI"/>
          <w:b/>
          <w:color w:val="33312D"/>
          <w:sz w:val="36"/>
        </w:rPr>
        <w:t>Fișă de control</w:t>
      </w:r>
    </w:p>
    <w:p>
      <w:pPr>
        <w:spacing w:after="160" w:before="0"/>
      </w:pPr>
      <w:r>
        <w:rPr>
          <w:rFonts w:ascii="Segoe UI" w:hAnsi="Segoe UI"/>
          <w:b w:val="0"/>
          <w:color w:val="75736D"/>
          <w:sz w:val="20"/>
        </w:rPr>
        <w:t>Verificarea conformității echipamentelor cu specificația.</w:t>
      </w:r>
    </w:p>
    <w:p>
      <w:pPr>
        <w:spacing w:after="80" w:before="0"/>
      </w:pPr>
      <w:r>
        <w:rPr>
          <w:rFonts w:ascii="Segoe UI" w:hAnsi="Segoe UI"/>
          <w:b w:val="0"/>
          <w:color w:val="33312D"/>
          <w:sz w:val="19"/>
        </w:rPr>
        <w:t>☐  Grosimea profilelor de construcție este de minimum 18 mm?</w:t>
      </w:r>
    </w:p>
    <w:p>
      <w:pPr>
        <w:spacing w:after="80" w:before="0"/>
      </w:pPr>
      <w:r>
        <w:rPr>
          <w:rFonts w:ascii="Segoe UI" w:hAnsi="Segoe UI"/>
          <w:b w:val="0"/>
          <w:color w:val="33312D"/>
          <w:sz w:val="19"/>
        </w:rPr>
        <w:t>☐  Profilele de construcție sunt laminate?</w:t>
      </w:r>
    </w:p>
    <w:p>
      <w:pPr>
        <w:spacing w:after="80" w:before="0"/>
      </w:pPr>
      <w:r>
        <w:rPr>
          <w:rFonts w:ascii="Segoe UI" w:hAnsi="Segoe UI"/>
          <w:b w:val="0"/>
          <w:color w:val="33312D"/>
          <w:sz w:val="19"/>
        </w:rPr>
        <w:t>☐  Profilele au picioare/suporturi care le izolează de sol (eliminând ascensiunea capilară a umidității, anexa nr. 2)?</w:t>
      </w:r>
    </w:p>
    <w:p>
      <w:pPr>
        <w:spacing w:after="80" w:before="0"/>
      </w:pPr>
      <w:r>
        <w:rPr>
          <w:rFonts w:ascii="Segoe UI" w:hAnsi="Segoe UI"/>
          <w:b w:val="0"/>
          <w:color w:val="33312D"/>
          <w:sz w:val="19"/>
        </w:rPr>
        <w:t>☐  Fiecare grindă de construcție are la fiecare capăt minimum două șuruburi tip Torx 6x140?</w:t>
      </w:r>
    </w:p>
    <w:p>
      <w:pPr>
        <w:spacing w:after="80" w:before="0"/>
      </w:pPr>
      <w:r>
        <w:rPr>
          <w:rFonts w:ascii="Segoe UI" w:hAnsi="Segoe UI"/>
          <w:b w:val="0"/>
          <w:color w:val="33312D"/>
          <w:sz w:val="19"/>
        </w:rPr>
        <w:t>☐  Secțiunile cu formă curbă au strat suport din placaj laminat cu grosimea de minimum 9 mm?</w:t>
      </w:r>
    </w:p>
    <w:p>
      <w:pPr>
        <w:spacing w:after="80" w:before="0"/>
      </w:pPr>
      <w:r>
        <w:rPr>
          <w:rFonts w:ascii="Segoe UI" w:hAnsi="Segoe UI"/>
          <w:b w:val="0"/>
          <w:color w:val="33312D"/>
          <w:sz w:val="19"/>
        </w:rPr>
        <w:t>☐  Secțiunile cu formă dreaptă au strat suport din placaj laminat cu grosimea de minimum 18 mm?</w:t>
      </w:r>
    </w:p>
    <w:p>
      <w:pPr>
        <w:spacing w:after="80" w:before="0"/>
      </w:pPr>
      <w:r>
        <w:rPr>
          <w:rFonts w:ascii="Segoe UI" w:hAnsi="Segoe UI"/>
          <w:b w:val="0"/>
          <w:color w:val="33312D"/>
          <w:sz w:val="19"/>
        </w:rPr>
        <w:t>☐  Suprafața de rulare este realizată din covor RampLine cu grosimea minimă de 6 mm?</w:t>
      </w:r>
    </w:p>
    <w:p>
      <w:pPr>
        <w:spacing w:after="80" w:before="0"/>
      </w:pPr>
      <w:r>
        <w:rPr>
          <w:rFonts w:ascii="Segoe UI" w:hAnsi="Segoe UI"/>
          <w:b w:val="0"/>
          <w:color w:val="33312D"/>
          <w:sz w:val="19"/>
        </w:rPr>
        <w:t>☐  Spațiul dintre traversele verticale nu este mai mare de 89 mm?</w:t>
      </w:r>
    </w:p>
    <w:p>
      <w:pPr>
        <w:spacing w:after="80" w:before="0"/>
      </w:pPr>
      <w:r>
        <w:rPr>
          <w:rFonts w:ascii="Segoe UI" w:hAnsi="Segoe UI"/>
          <w:b w:val="0"/>
          <w:color w:val="33312D"/>
          <w:sz w:val="19"/>
        </w:rPr>
        <w:t>☐  Balustradele și celelalte elemente din oțel sunt realizate din oțel galvanizat?</w:t>
      </w:r>
    </w:p>
    <w:p>
      <w:pPr>
        <w:spacing w:after="80" w:before="0"/>
      </w:pPr>
      <w:r>
        <w:rPr>
          <w:rFonts w:ascii="Segoe UI" w:hAnsi="Segoe UI"/>
          <w:b w:val="0"/>
          <w:color w:val="33312D"/>
          <w:sz w:val="19"/>
        </w:rPr>
        <w:t>☐  Diametrul copingurilor pe elemente se încadrează în intervalul 48 – 60,3 mm?</w:t>
      </w:r>
    </w:p>
    <w:p>
      <w:pPr>
        <w:spacing w:after="80" w:before="0"/>
      </w:pPr>
      <w:r>
        <w:rPr>
          <w:rFonts w:ascii="Segoe UI" w:hAnsi="Segoe UI"/>
          <w:b w:val="0"/>
          <w:color w:val="33312D"/>
          <w:sz w:val="19"/>
        </w:rPr>
        <w:t>☐  Platformele pe care este instalat copingul au fixate table de protecție (lățime 120 mm) de-a lungul copingului (anexa nr. 8)?</w:t>
      </w:r>
    </w:p>
    <w:p>
      <w:pPr>
        <w:spacing w:after="80" w:before="0"/>
      </w:pPr>
      <w:r>
        <w:rPr>
          <w:rFonts w:ascii="Segoe UI" w:hAnsi="Segoe UI"/>
          <w:b w:val="0"/>
          <w:color w:val="33312D"/>
          <w:sz w:val="19"/>
        </w:rPr>
        <w:t>☐  Cornierele folosite la finisarea elementelor au rotunjire la îndoitură (corniere îndoite la rece)?</w:t>
      </w:r>
    </w:p>
    <w:p>
      <w:pPr>
        <w:spacing w:after="80" w:before="0"/>
      </w:pPr>
      <w:r>
        <w:rPr>
          <w:rFonts w:ascii="Segoe UI" w:hAnsi="Segoe UI"/>
          <w:b w:val="0"/>
          <w:color w:val="33312D"/>
          <w:sz w:val="19"/>
        </w:rPr>
        <w:t>☐  Orificiile din table sunt teșite astfel încât capetele șuruburilor să nu iasă peste suprafața tablei?</w:t>
      </w:r>
    </w:p>
    <w:p>
      <w:pPr>
        <w:spacing w:after="80" w:before="0"/>
      </w:pPr>
      <w:r>
        <w:rPr>
          <w:rFonts w:ascii="Segoe UI" w:hAnsi="Segoe UI"/>
          <w:b w:val="0"/>
          <w:color w:val="33312D"/>
          <w:sz w:val="19"/>
        </w:rPr>
        <w:t>☐  Tablele de acces au lățimea de 350-400 mm și grosimea de 3 mm?</w:t>
      </w:r>
    </w:p>
    <w:p>
      <w:pPr>
        <w:spacing w:after="80" w:before="0"/>
      </w:pPr>
      <w:r>
        <w:rPr>
          <w:rFonts w:ascii="Segoe UI" w:hAnsi="Segoe UI"/>
          <w:b w:val="0"/>
          <w:color w:val="33312D"/>
          <w:sz w:val="19"/>
        </w:rPr>
        <w:t>☐  Pragurile metalice de la colțuri și muchiile piramidelor formează o trecere lină?</w:t>
      </w:r>
    </w:p>
    <w:p>
      <w:pPr>
        <w:spacing w:after="80" w:before="0"/>
      </w:pPr>
      <w:r>
        <w:rPr>
          <w:rFonts w:ascii="Segoe UI" w:hAnsi="Segoe UI"/>
          <w:b w:val="0"/>
          <w:color w:val="33312D"/>
          <w:sz w:val="19"/>
        </w:rPr>
        <w:t>☐  Echipamentelor montate le-au fost atașate instrucțiunile de utilizare a skateparkului?</w:t>
      </w:r>
    </w:p>
    <w:p>
      <w:pPr>
        <w:spacing w:after="80" w:before="0"/>
      </w:pPr>
      <w:r>
        <w:rPr>
          <w:rFonts w:ascii="Segoe UI" w:hAnsi="Segoe UI"/>
          <w:b w:val="0"/>
          <w:color w:val="33312D"/>
          <w:sz w:val="19"/>
        </w:rPr>
        <w:t>☐  Instrucțiunile de utilizare au fost montate într-un loc vizibil?</w:t>
      </w:r>
    </w:p>
    <w:sectPr w:rsidR="00FC693F" w:rsidRPr="0006063C" w:rsidSect="00034616">
      <w:headerReference w:type="default" r:id="rId9"/>
      <w:footerReference w:type="default" r:id="rId10"/>
      <w:pgSz w:w="12240" w:h="15840"/>
      <w:pgMar w:top="1020" w:right="1020" w:bottom="907" w:left="10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r>
      <w:rPr>
        <w:rFonts w:ascii="Segoe UI" w:hAnsi="Segoe UI"/>
        <w:color w:val="75736D"/>
        <w:sz w:val="15"/>
      </w:rPr>
      <w:t>Loftrek SRL · distribuitor autorizat TechRamps în România · loftrek.ro</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tbl>
    <w:tblPr>
      <w:tblW w:type="auto" w:w="0"/>
      <w:tblLayout w:type="autofit"/>
      <w:tblLook w:firstColumn="1" w:firstRow="1" w:lastColumn="0" w:lastRow="0" w:noHBand="0" w:noVBand="1" w:val="04A0"/>
    </w:tblPr>
    <w:tblGrid>
      <w:gridCol w:w="4536"/>
      <w:gridCol w:w="4536"/>
    </w:tblGrid>
    <w:tr>
      <w:tc>
        <w:tcPr>
          <w:tcW w:type="dxa" w:w="4536"/>
        </w:tcPr>
        <w:p>
          <w:r>
            <w:drawing>
              <wp:inline xmlns:a="http://schemas.openxmlformats.org/drawingml/2006/main" xmlns:pic="http://schemas.openxmlformats.org/drawingml/2006/picture">
                <wp:extent cx="540040" cy="164592"/>
                <wp:docPr id="1" name="Picture 1"/>
                <wp:cNvGraphicFramePr>
                  <a:graphicFrameLocks noChangeAspect="1"/>
                </wp:cNvGraphicFramePr>
                <a:graphic>
                  <a:graphicData uri="http://schemas.openxmlformats.org/drawingml/2006/picture">
                    <pic:pic>
                      <pic:nvPicPr>
                        <pic:cNvPr id="0" name="loftrek-logo.png"/>
                        <pic:cNvPicPr/>
                      </pic:nvPicPr>
                      <pic:blipFill>
                        <a:blip r:embed="rId1"/>
                        <a:stretch>
                          <a:fillRect/>
                        </a:stretch>
                      </pic:blipFill>
                      <pic:spPr>
                        <a:xfrm>
                          <a:off x="0" y="0"/>
                          <a:ext cx="540040" cy="164592"/>
                        </a:xfrm>
                        <a:prstGeom prst="rect"/>
                      </pic:spPr>
                    </pic:pic>
                  </a:graphicData>
                </a:graphic>
              </wp:inline>
            </w:drawing>
          </w:r>
        </w:p>
      </w:tc>
      <w:tc>
        <w:tcPr>
          <w:tcW w:type="dxa" w:w="4536"/>
        </w:tcPr>
        <w:p>
          <w:pPr>
            <w:jc w:val="right"/>
          </w:pPr>
          <w:r>
            <w:drawing>
              <wp:inline xmlns:a="http://schemas.openxmlformats.org/drawingml/2006/main" xmlns:pic="http://schemas.openxmlformats.org/drawingml/2006/picture">
                <wp:extent cx="884903" cy="137160"/>
                <wp:docPr id="2" name="Picture 2"/>
                <wp:cNvGraphicFramePr>
                  <a:graphicFrameLocks noChangeAspect="1"/>
                </wp:cNvGraphicFramePr>
                <a:graphic>
                  <a:graphicData uri="http://schemas.openxmlformats.org/drawingml/2006/picture">
                    <pic:pic>
                      <pic:nvPicPr>
                        <pic:cNvPr id="0" name="techramps-logo.png"/>
                        <pic:cNvPicPr/>
                      </pic:nvPicPr>
                      <pic:blipFill>
                        <a:blip r:embed="rId2"/>
                        <a:stretch>
                          <a:fillRect/>
                        </a:stretch>
                      </pic:blipFill>
                      <pic:spPr>
                        <a:xfrm>
                          <a:off x="0" y="0"/>
                          <a:ext cx="884903" cy="137160"/>
                        </a:xfrm>
                        <a:prstGeom prst="rect"/>
                      </pic:spPr>
                    </pic:pic>
                  </a:graphicData>
                </a:graphic>
              </wp:inline>
            </w:drawing>
          </w:r>
        </w:p>
      </w:tc>
    </w:tr>
  </w:tbl>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Segoe UI" w:hAnsi="Segoe UI" w:eastAsia="Segoe UI"/>
      <w:color w:val="33312D"/>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image" Target="media/image3.jpg"/><Relationship Id="rId12" Type="http://schemas.openxmlformats.org/officeDocument/2006/relationships/image" Target="media/image4.jpg"/><Relationship Id="rId13" Type="http://schemas.openxmlformats.org/officeDocument/2006/relationships/image" Target="media/image5.jpg"/><Relationship Id="rId14" Type="http://schemas.openxmlformats.org/officeDocument/2006/relationships/image" Target="media/image6.jpg"/><Relationship Id="rId15" Type="http://schemas.openxmlformats.org/officeDocument/2006/relationships/image" Target="media/image7.jpg"/><Relationship Id="rId16" Type="http://schemas.openxmlformats.org/officeDocument/2006/relationships/image" Target="media/image8.jpg"/><Relationship Id="rId17" Type="http://schemas.openxmlformats.org/officeDocument/2006/relationships/image" Target="media/image9.jpg"/><Relationship Id="rId18" Type="http://schemas.openxmlformats.org/officeDocument/2006/relationships/image" Target="media/image10.jpg"/><Relationship Id="rId19" Type="http://schemas.openxmlformats.org/officeDocument/2006/relationships/image" Target="media/image11.png"/><Relationship Id="rId20" Type="http://schemas.openxmlformats.org/officeDocument/2006/relationships/image" Target="media/image12.jpg"/><Relationship Id="rId21" Type="http://schemas.openxmlformats.org/officeDocument/2006/relationships/image" Target="media/image13.jpg"/><Relationship Id="rId22" Type="http://schemas.openxmlformats.org/officeDocument/2006/relationships/image" Target="media/image14.jpg"/><Relationship Id="rId23" Type="http://schemas.openxmlformats.org/officeDocument/2006/relationships/image" Target="media/image15.jpg"/><Relationship Id="rId24" Type="http://schemas.openxmlformats.org/officeDocument/2006/relationships/image" Target="media/image16.png"/><Relationship Id="rId25" Type="http://schemas.openxmlformats.org/officeDocument/2006/relationships/image" Target="media/image17.png"/><Relationship Id="rId26" Type="http://schemas.openxmlformats.org/officeDocument/2006/relationships/image" Target="media/image18.png"/><Relationship Id="rId27" Type="http://schemas.openxmlformats.org/officeDocument/2006/relationships/image" Target="media/image19.png"/><Relationship Id="rId28" Type="http://schemas.openxmlformats.org/officeDocument/2006/relationships/image" Target="media/image20.png"/><Relationship Id="rId29" Type="http://schemas.openxmlformats.org/officeDocument/2006/relationships/image" Target="media/image21.jp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