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0"/>
      </w:pPr>
      <w:r>
        <w:rPr>
          <w:rFonts w:ascii="Segoe UI" w:hAnsi="Segoe UI"/>
          <w:b/>
          <w:color w:val="5A9118"/>
          <w:sz w:val="18"/>
        </w:rPr>
        <w:t>FIȘĂ TEHNICĂ · SERIA PSM</w:t>
      </w:r>
    </w:p>
    <w:p>
      <w:pPr>
        <w:spacing w:after="120" w:before="40"/>
      </w:pPr>
      <w:r>
        <w:rPr>
          <w:rFonts w:ascii="Segoe UI" w:hAnsi="Segoe UI"/>
          <w:b/>
          <w:color w:val="33312D"/>
          <w:sz w:val="52"/>
        </w:rPr>
        <w:t>Skatepark Modular PSM10</w:t>
      </w:r>
    </w:p>
    <w:p>
      <w:pPr>
        <w:spacing w:after="200" w:before="0"/>
      </w:pPr>
      <w:r>
        <w:rPr>
          <w:rFonts w:ascii="Segoe UI" w:hAnsi="Segoe UI"/>
          <w:b w:val="0"/>
          <w:color w:val="75736D"/>
          <w:sz w:val="22"/>
        </w:rPr>
        <w:t>Configurație modulară gata-proiectată, certificată conform EN 14974 — distribuită și montată în România de Loftrek.</w:t>
      </w:r>
    </w:p>
    <w:tbl>
      <w:tblPr>
        <w:tblStyle w:val="LightGrid-Accent1"/>
        <w:tblW w:type="auto" w:w="0"/>
        <w:tblLook w:firstColumn="1" w:firstRow="1" w:lastColumn="0" w:lastRow="0" w:noHBand="0" w:noVBand="1" w:val="04A0"/>
      </w:tblPr>
      <w:tblGrid>
        <w:gridCol w:w="5100"/>
        <w:gridCol w:w="5100"/>
      </w:tblGrid>
      <w:tr>
        <w:tc>
          <w:tcPr>
            <w:tcW w:type="dxa" w:w="5100"/>
          </w:tcPr>
          <w:p>
            <w:r>
              <w:rPr>
                <w:rFonts w:ascii="Segoe UI" w:hAnsi="Segoe UI"/>
                <w:b/>
                <w:sz w:val="19"/>
              </w:rPr>
              <w:t>Cod TechRamps</w:t>
            </w:r>
          </w:p>
        </w:tc>
        <w:tc>
          <w:tcPr>
            <w:tcW w:type="dxa" w:w="5100"/>
          </w:tcPr>
          <w:p>
            <w:r>
              <w:rPr>
                <w:rFonts w:ascii="Segoe UI" w:hAnsi="Segoe UI"/>
                <w:sz w:val="19"/>
              </w:rPr>
              <w:t>PSM10</w:t>
            </w:r>
          </w:p>
        </w:tc>
      </w:tr>
      <w:tr>
        <w:tc>
          <w:tcPr>
            <w:tcW w:type="dxa" w:w="5100"/>
          </w:tcPr>
          <w:p>
            <w:r>
              <w:rPr>
                <w:rFonts w:ascii="Segoe UI" w:hAnsi="Segoe UI"/>
                <w:b/>
                <w:sz w:val="19"/>
              </w:rPr>
              <w:t>Suprafață recomandată</w:t>
            </w:r>
          </w:p>
        </w:tc>
        <w:tc>
          <w:tcPr>
            <w:tcW w:type="dxa" w:w="5100"/>
          </w:tcPr>
          <w:p>
            <w:r>
              <w:rPr>
                <w:rFonts w:ascii="Segoe UI" w:hAnsi="Segoe UI"/>
                <w:sz w:val="19"/>
              </w:rPr>
              <w:t>11,68 × 26,96 m</w:t>
            </w:r>
          </w:p>
        </w:tc>
      </w:tr>
      <w:tr>
        <w:tc>
          <w:tcPr>
            <w:tcW w:type="dxa" w:w="5100"/>
          </w:tcPr>
          <w:p>
            <w:r>
              <w:rPr>
                <w:rFonts w:ascii="Segoe UI" w:hAnsi="Segoe UI"/>
                <w:b/>
                <w:sz w:val="19"/>
              </w:rPr>
              <w:t>Echipamente</w:t>
            </w:r>
          </w:p>
        </w:tc>
        <w:tc>
          <w:tcPr>
            <w:tcW w:type="dxa" w:w="5100"/>
          </w:tcPr>
          <w:p>
            <w:r>
              <w:rPr>
                <w:rFonts w:ascii="Segoe UI" w:hAnsi="Segoe UI"/>
                <w:sz w:val="19"/>
              </w:rPr>
              <w:t>5 elemente</w:t>
            </w:r>
          </w:p>
        </w:tc>
      </w:tr>
      <w:tr>
        <w:tc>
          <w:tcPr>
            <w:tcW w:type="dxa" w:w="5100"/>
          </w:tcPr>
          <w:p>
            <w:r>
              <w:rPr>
                <w:rFonts w:ascii="Segoe UI" w:hAnsi="Segoe UI"/>
                <w:b/>
                <w:sz w:val="19"/>
              </w:rPr>
              <w:t>Tehnologie</w:t>
            </w:r>
          </w:p>
        </w:tc>
        <w:tc>
          <w:tcPr>
            <w:tcW w:type="dxa" w:w="5100"/>
          </w:tcPr>
          <w:p>
            <w:r>
              <w:rPr>
                <w:rFonts w:ascii="Segoe UI" w:hAnsi="Segoe UI"/>
                <w:sz w:val="19"/>
              </w:rPr>
              <w:t>Prestige · suprafață RampLine</w:t>
            </w:r>
          </w:p>
        </w:tc>
      </w:tr>
      <w:tr>
        <w:tc>
          <w:tcPr>
            <w:tcW w:type="dxa" w:w="5100"/>
          </w:tcPr>
          <w:p>
            <w:r>
              <w:rPr>
                <w:rFonts w:ascii="Segoe UI" w:hAnsi="Segoe UI"/>
                <w:b/>
                <w:sz w:val="19"/>
              </w:rPr>
              <w:t>Certificare</w:t>
            </w:r>
          </w:p>
        </w:tc>
        <w:tc>
          <w:tcPr>
            <w:tcW w:type="dxa" w:w="5100"/>
          </w:tcPr>
          <w:p>
            <w:r>
              <w:rPr>
                <w:rFonts w:ascii="Segoe UI" w:hAnsi="Segoe UI"/>
                <w:sz w:val="19"/>
              </w:rPr>
              <w:t>Conform EN 14974</w:t>
            </w:r>
          </w:p>
        </w:tc>
      </w:tr>
      <w:tr>
        <w:tc>
          <w:tcPr>
            <w:tcW w:type="dxa" w:w="5100"/>
          </w:tcPr>
          <w:p>
            <w:r>
              <w:rPr>
                <w:rFonts w:ascii="Segoe UI" w:hAnsi="Segoe UI"/>
                <w:b/>
                <w:sz w:val="19"/>
              </w:rPr>
              <w:t>Producător</w:t>
            </w:r>
          </w:p>
        </w:tc>
        <w:tc>
          <w:tcPr>
            <w:tcW w:type="dxa" w:w="5100"/>
          </w:tcPr>
          <w:p>
            <w:r>
              <w:rPr>
                <w:rFonts w:ascii="Segoe UI" w:hAnsi="Segoe UI"/>
                <w:sz w:val="19"/>
              </w:rPr>
              <w:t>TechRamps (Polonia)</w:t>
            </w:r>
          </w:p>
        </w:tc>
      </w:tr>
      <w:tr>
        <w:tc>
          <w:tcPr>
            <w:tcW w:type="dxa" w:w="5100"/>
          </w:tcPr>
          <w:p>
            <w:r>
              <w:rPr>
                <w:rFonts w:ascii="Segoe UI" w:hAnsi="Segoe UI"/>
                <w:b/>
                <w:sz w:val="19"/>
              </w:rPr>
              <w:t>Distribuitor România</w:t>
            </w:r>
          </w:p>
        </w:tc>
        <w:tc>
          <w:tcPr>
            <w:tcW w:type="dxa" w:w="5100"/>
          </w:tcPr>
          <w:p>
            <w:r>
              <w:rPr>
                <w:rFonts w:ascii="Segoe UI" w:hAnsi="Segoe UI"/>
                <w:sz w:val="19"/>
              </w:rPr>
              <w:t>Loftrek SRL</w:t>
            </w:r>
          </w:p>
        </w:tc>
      </w:tr>
    </w:tbl>
    <w:p>
      <w:r>
        <w:br w:type="page"/>
      </w:r>
    </w:p>
    <w:p>
      <w:pPr>
        <w:spacing w:after="100" w:before="200"/>
      </w:pPr>
      <w:r>
        <w:rPr>
          <w:rFonts w:ascii="Segoe UI" w:hAnsi="Segoe UI"/>
          <w:b/>
          <w:color w:val="33312D"/>
          <w:sz w:val="32"/>
        </w:rPr>
        <w:t>Echipamentele incluse</w:t>
      </w:r>
    </w:p>
    <w:p>
      <w:pPr>
        <w:spacing w:after="100" w:before="80"/>
      </w:pPr>
      <w:r>
        <w:rPr>
          <w:rFonts w:ascii="Segoe UI" w:hAnsi="Segoe UI"/>
          <w:b/>
          <w:color w:val="33312D"/>
          <w:sz w:val="26"/>
        </w:rPr>
        <w:t>Echipament nr. 1 - Quarter Pipe</w:t>
      </w:r>
    </w:p>
    <w:p>
      <w:pPr>
        <w:jc w:val="center"/>
      </w:pPr>
      <w:r>
        <w:drawing>
          <wp:inline xmlns:a="http://schemas.openxmlformats.org/drawingml/2006/main" xmlns:pic="http://schemas.openxmlformats.org/drawingml/2006/picture">
            <wp:extent cx="4206240" cy="3958490"/>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4206240" cy="3958490"/>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320x366x150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Quarter Pipe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Quarter Pipe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2 - Funbox</w:t>
      </w:r>
    </w:p>
    <w:p>
      <w:pPr>
        <w:jc w:val="center"/>
      </w:pPr>
      <w:r>
        <w:drawing>
          <wp:inline xmlns:a="http://schemas.openxmlformats.org/drawingml/2006/main" xmlns:pic="http://schemas.openxmlformats.org/drawingml/2006/picture">
            <wp:extent cx="4206240" cy="2614690"/>
            <wp:docPr id="2" name="Picture 2"/>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4206240" cy="2614690"/>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600x488x45/60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Funbox – este inima oricărui skatepark. Echipamentul include elemente suplimentare precum un rail, un grindbox drept și un disaster box</w:t>
        <w:br/>
        <w:t>care ocupă toată lungimea obstacolului. Poate fi extins în orice mod, ceea ce oferă posibilități mai mari de a învăța figuri noi.</w:t>
        <w:br/>
        <w:t>Skateboarderii preferă un funbox cu cât mai multe combinații, în timp ce practicanții de BMX, rolerii și cei pe trotinetă preferă elementele mai înalte,</w:t>
        <w:br/>
        <w:t>care permit executarea de sărituri și salturi.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3 - Bank Ramp</w:t>
      </w:r>
    </w:p>
    <w:p>
      <w:pPr>
        <w:jc w:val="center"/>
      </w:pPr>
      <w:r>
        <w:drawing>
          <wp:inline xmlns:a="http://schemas.openxmlformats.org/drawingml/2006/main" xmlns:pic="http://schemas.openxmlformats.org/drawingml/2006/picture">
            <wp:extent cx="4206240" cy="3846319"/>
            <wp:docPr id="3" name="Picture 3"/>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4206240" cy="3846319"/>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416x366x150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Bank Ramp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Bank Ramp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4 - Ledge 1</w:t>
      </w:r>
    </w:p>
    <w:p>
      <w:pPr>
        <w:jc w:val="center"/>
      </w:pPr>
      <w:r>
        <w:drawing>
          <wp:inline xmlns:a="http://schemas.openxmlformats.org/drawingml/2006/main" xmlns:pic="http://schemas.openxmlformats.org/drawingml/2006/picture">
            <wp:extent cx="4206240" cy="2728889"/>
            <wp:docPr id="4" name="Picture 4"/>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4206240" cy="2728889"/>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250x30x35</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Ledge – element folosit pentru distracție și pentru învățarea de figuri noi. Ledge-urile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5 - Rail drept mic - profil</w:t>
      </w:r>
    </w:p>
    <w:p>
      <w:pPr>
        <w:jc w:val="center"/>
      </w:pPr>
      <w:r>
        <w:drawing>
          <wp:inline xmlns:a="http://schemas.openxmlformats.org/drawingml/2006/main" xmlns:pic="http://schemas.openxmlformats.org/drawingml/2006/picture">
            <wp:extent cx="4206240" cy="2436458"/>
            <wp:docPr id="5" name="Picture 5"/>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4206240" cy="2436458"/>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250x8x35</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Rail drept - profil – element folosit pentru distracție și pentru învățarea de figuri noi. Rail-urile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200"/>
      </w:pPr>
      <w:r>
        <w:rPr>
          <w:rFonts w:ascii="Segoe UI" w:hAnsi="Segoe UI"/>
          <w:b/>
          <w:color w:val="33312D"/>
          <w:sz w:val="36"/>
        </w:rPr>
        <w:t>Specificație tehnică generală</w:t>
      </w:r>
    </w:p>
    <w:p>
      <w:pPr>
        <w:spacing w:after="160" w:before="0"/>
      </w:pPr>
      <w:r>
        <w:rPr>
          <w:rFonts w:ascii="Segoe UI" w:hAnsi="Segoe UI"/>
          <w:b w:val="0"/>
          <w:color w:val="75736D"/>
          <w:sz w:val="20"/>
        </w:rPr>
        <w:t>Cerințele de mai jos se aplică tuturor echipamentelor modulare din această fișă, indiferent de model.</w:t>
      </w:r>
    </w:p>
    <w:p>
      <w:pPr>
        <w:spacing w:after="100" w:before="200"/>
      </w:pPr>
      <w:r>
        <w:rPr>
          <w:rFonts w:ascii="Segoe UI" w:hAnsi="Segoe UI"/>
          <w:b/>
          <w:color w:val="33312D"/>
          <w:sz w:val="26"/>
        </w:rPr>
        <w:t>I. Cerințe privind materialele</w:t>
      </w:r>
    </w:p>
    <w:p>
      <w:pPr>
        <w:spacing w:after="60" w:before="120"/>
      </w:pPr>
      <w:r>
        <w:rPr>
          <w:rFonts w:ascii="Segoe UI" w:hAnsi="Segoe UI"/>
          <w:b/>
          <w:color w:val="5A9118"/>
          <w:sz w:val="21"/>
        </w:rPr>
        <w:t>1) Construcția echipamentelor</w:t>
      </w:r>
    </w:p>
    <w:p>
      <w:pPr>
        <w:spacing w:after="40" w:before="80"/>
      </w:pPr>
      <w:r>
        <w:rPr>
          <w:rFonts w:ascii="Segoe UI" w:hAnsi="Segoe UI"/>
          <w:b/>
          <w:color w:val="33312D"/>
          <w:sz w:val="20"/>
        </w:rPr>
        <w:t>a) Material</w:t>
      </w:r>
    </w:p>
    <w:p>
      <w:pPr>
        <w:pStyle w:val="ListBullet"/>
        <w:spacing w:after="60" w:before="0"/>
      </w:pPr>
      <w:r>
        <w:rPr>
          <w:rFonts w:ascii="Segoe UI" w:hAnsi="Segoe UI"/>
          <w:b w:val="0"/>
          <w:color w:val="33312D"/>
          <w:sz w:val="19"/>
        </w:rPr>
        <w:t>Plăcile portante (de construcție) din placaj închis la culoare, rezistent la apă, laminat pe ambele fețe, grosime ≥ 18 mm.</w:t>
      </w:r>
    </w:p>
    <w:p>
      <w:pPr>
        <w:pStyle w:val="ListBullet"/>
        <w:spacing w:after="60" w:before="0"/>
      </w:pPr>
      <w:r>
        <w:rPr>
          <w:rFonts w:ascii="Segoe UI" w:hAnsi="Segoe UI"/>
          <w:b w:val="0"/>
          <w:color w:val="33312D"/>
          <w:sz w:val="19"/>
        </w:rPr>
        <w:t>Module cu orificii Ø12 mm între grinzi, înșurubate cu șuruburi galvanizate M12; orificiile exterioare au rol de ventilație, șuruburile vizibile finisate cu capac tip ciupercă (anexa nr. 2).</w:t>
      </w:r>
    </w:p>
    <w:p>
      <w:pPr>
        <w:pStyle w:val="ListBullet"/>
        <w:spacing w:after="60" w:before="0"/>
      </w:pPr>
      <w:r>
        <w:rPr>
          <w:rFonts w:ascii="Segoe UI" w:hAnsi="Segoe UI"/>
          <w:b w:val="0"/>
          <w:color w:val="33312D"/>
          <w:sz w:val="19"/>
        </w:rPr>
        <w:t>Sistem de ventilație din HPL de 6 mm pe panourile de construcție exterioare (gr. 18 mm), pentru circulația liberă a aerului (anexa nr. 2).</w:t>
      </w:r>
    </w:p>
    <w:p>
      <w:pPr>
        <w:pStyle w:val="ListBullet"/>
        <w:spacing w:after="60" w:before="0"/>
      </w:pPr>
      <w:r>
        <w:rPr>
          <w:rFonts w:ascii="Segoe UI" w:hAnsi="Segoe UI"/>
          <w:b w:val="0"/>
          <w:color w:val="33312D"/>
          <w:sz w:val="19"/>
        </w:rPr>
        <w:t>Panouri laterale pe picioare de sprijin, pentru eliminarea absorbției umidității și ventilație suplimentară (anexa nr. 2).</w:t>
      </w:r>
    </w:p>
    <w:p>
      <w:pPr>
        <w:pStyle w:val="ListBullet"/>
        <w:spacing w:after="60" w:before="0"/>
      </w:pPr>
      <w:r>
        <w:rPr>
          <w:rFonts w:ascii="Segoe UI" w:hAnsi="Segoe UI"/>
          <w:b w:val="0"/>
          <w:color w:val="33312D"/>
          <w:sz w:val="19"/>
        </w:rPr>
        <w:t>Șuruburile laterale înșurubate la nivel cu placarea (orificii alezate și frezate CNC).</w:t>
      </w:r>
    </w:p>
    <w:p>
      <w:pPr>
        <w:pStyle w:val="ListBullet"/>
        <w:spacing w:after="60" w:before="0"/>
      </w:pPr>
      <w:r>
        <w:rPr>
          <w:rFonts w:ascii="Segoe UI" w:hAnsi="Segoe UI"/>
          <w:b w:val="0"/>
          <w:color w:val="33312D"/>
          <w:sz w:val="19"/>
        </w:rPr>
        <w:t>Grinzi fixate de plăcile portante cu șuruburi galvanizate Torx 6x140, minimum 2 la fiecare capăt.</w:t>
      </w:r>
    </w:p>
    <w:p>
      <w:pPr>
        <w:pStyle w:val="ListBullet"/>
        <w:spacing w:after="60" w:before="0"/>
      </w:pPr>
      <w:r>
        <w:rPr>
          <w:rFonts w:ascii="Segoe UI" w:hAnsi="Segoe UI"/>
          <w:b w:val="0"/>
          <w:color w:val="33312D"/>
          <w:sz w:val="19"/>
        </w:rPr>
        <w:t>Capac de vizitare la elementele mai înalte de 1 m și mai late de 1,8 m (anexa nr. 3).</w:t>
      </w:r>
    </w:p>
    <w:p>
      <w:pPr>
        <w:spacing w:after="40" w:before="80"/>
      </w:pPr>
      <w:r>
        <w:rPr>
          <w:rFonts w:ascii="Segoe UI" w:hAnsi="Segoe UI"/>
          <w:b/>
          <w:color w:val="33312D"/>
          <w:sz w:val="20"/>
        </w:rPr>
        <w:t>b) Îmbinarea plăcilor</w:t>
      </w:r>
    </w:p>
    <w:p>
      <w:pPr>
        <w:pStyle w:val="ListBullet"/>
        <w:spacing w:after="60" w:before="0"/>
      </w:pPr>
      <w:r>
        <w:rPr>
          <w:rFonts w:ascii="Segoe UI" w:hAnsi="Segoe UI"/>
          <w:b w:val="0"/>
          <w:color w:val="33312D"/>
          <w:sz w:val="19"/>
        </w:rPr>
        <w:t>Prelungirea plăcii portante prin îmbinare în formă de puzzle, pentru a evita separarea sub sarcini și tensiuni mari (anexa nr. 1).</w:t>
      </w:r>
    </w:p>
    <w:p>
      <w:pPr>
        <w:spacing w:after="40" w:before="80"/>
      </w:pPr>
      <w:r>
        <w:rPr>
          <w:rFonts w:ascii="Segoe UI" w:hAnsi="Segoe UI"/>
          <w:b/>
          <w:color w:val="33312D"/>
          <w:sz w:val="20"/>
        </w:rPr>
        <w:t>c) Strat suport</w:t>
      </w:r>
    </w:p>
    <w:p>
      <w:pPr>
        <w:pStyle w:val="ListBullet"/>
        <w:spacing w:after="60" w:before="0"/>
      </w:pPr>
      <w:r>
        <w:rPr>
          <w:rFonts w:ascii="Segoe UI" w:hAnsi="Segoe UI"/>
          <w:b w:val="0"/>
          <w:color w:val="33312D"/>
          <w:sz w:val="19"/>
        </w:rPr>
        <w:t>Secțiuni curbe: placaj rezistent la apă, laminat pe ambele fețe, grosime ≥ 9 mm (sau 10 mm polietilenă), șuruburi Torx galvanizat 5x60/6x60.</w:t>
      </w:r>
    </w:p>
    <w:p>
      <w:pPr>
        <w:pStyle w:val="ListBullet"/>
        <w:spacing w:after="60" w:before="0"/>
      </w:pPr>
      <w:r>
        <w:rPr>
          <w:rFonts w:ascii="Segoe UI" w:hAnsi="Segoe UI"/>
          <w:b w:val="0"/>
          <w:color w:val="33312D"/>
          <w:sz w:val="19"/>
        </w:rPr>
        <w:t>Secțiuni drepte: același placaj, grosime ≥ 18 mm (sau 12 mm polietilenă), șuruburi Torx galvanizat 5x60/6x60.</w:t>
      </w:r>
    </w:p>
    <w:p>
      <w:pPr>
        <w:spacing w:after="40" w:before="80"/>
      </w:pPr>
      <w:r>
        <w:rPr>
          <w:rFonts w:ascii="Segoe UI" w:hAnsi="Segoe UI"/>
          <w:b/>
          <w:color w:val="33312D"/>
          <w:sz w:val="20"/>
        </w:rPr>
        <w:t>d) Garanția calității și a repetabilității</w:t>
      </w:r>
    </w:p>
    <w:p>
      <w:pPr>
        <w:pStyle w:val="ListBullet"/>
        <w:spacing w:after="60" w:before="0"/>
      </w:pPr>
      <w:r>
        <w:rPr>
          <w:rFonts w:ascii="Segoe UI" w:hAnsi="Segoe UI"/>
          <w:b w:val="0"/>
          <w:color w:val="33312D"/>
          <w:sz w:val="19"/>
        </w:rPr>
        <w:t>Toate plăcile portante se debitează cu mașina cu comandă numerică CNC, pentru precizie și repetabilitate.</w:t>
      </w:r>
    </w:p>
    <w:p>
      <w:pPr>
        <w:spacing w:after="60" w:before="120"/>
      </w:pPr>
      <w:r>
        <w:rPr>
          <w:rFonts w:ascii="Segoe UI" w:hAnsi="Segoe UI"/>
          <w:b/>
          <w:color w:val="5A9118"/>
          <w:sz w:val="21"/>
        </w:rPr>
        <w:t>2) Suprafața de rulare</w:t>
      </w:r>
    </w:p>
    <w:p>
      <w:pPr>
        <w:pStyle w:val="ListBullet"/>
        <w:spacing w:after="60" w:before="0"/>
      </w:pPr>
      <w:r>
        <w:rPr>
          <w:rFonts w:ascii="Segoe UI" w:hAnsi="Segoe UI"/>
          <w:b w:val="0"/>
          <w:color w:val="33312D"/>
          <w:sz w:val="19"/>
        </w:rPr>
        <w:t>Covor RampLine profesional de 6 mm (variantă HPL antiderapantă), fixat cu șuruburi galvanizate Spax/Torx 6x60.</w:t>
      </w:r>
    </w:p>
    <w:p>
      <w:pPr>
        <w:pStyle w:val="ListBullet"/>
        <w:spacing w:after="60" w:before="0"/>
      </w:pPr>
      <w:r>
        <w:rPr>
          <w:rFonts w:ascii="Segoe UI" w:hAnsi="Segoe UI"/>
          <w:b w:val="0"/>
          <w:color w:val="33312D"/>
          <w:sz w:val="19"/>
        </w:rPr>
        <w:t>Minimum 90% dintre orificii găurite și alezate CNC; minimum 90% dintre muchii teșite CNC (anexa nr. 4).</w:t>
      </w:r>
    </w:p>
    <w:p>
      <w:pPr>
        <w:pStyle w:val="ListBullet"/>
        <w:spacing w:after="60" w:before="0"/>
      </w:pPr>
      <w:r>
        <w:rPr>
          <w:rFonts w:ascii="Segoe UI" w:hAnsi="Segoe UI"/>
          <w:b w:val="0"/>
          <w:color w:val="33312D"/>
          <w:sz w:val="19"/>
        </w:rPr>
        <w:t>Capetele șuruburilor îngropate la maximum 1 mm; fantele de la îmbinări astupate cu masă de etanșare-lipire (anexa nr. 4).</w:t>
      </w:r>
    </w:p>
    <w:p>
      <w:pPr>
        <w:pStyle w:val="ListBullet"/>
        <w:spacing w:after="60" w:before="0"/>
      </w:pPr>
      <w:r>
        <w:rPr>
          <w:rFonts w:ascii="Segoe UI" w:hAnsi="Segoe UI"/>
          <w:b w:val="0"/>
          <w:color w:val="33312D"/>
          <w:sz w:val="19"/>
        </w:rPr>
        <w:t>Grindbox-urile protejate suplimentar pe fiecare latură de rulare cu covor RampLine de 6 mm (anexa nr. 5).</w:t>
      </w:r>
    </w:p>
    <w:p>
      <w:pPr>
        <w:spacing w:after="60" w:before="120"/>
      </w:pPr>
      <w:r>
        <w:rPr>
          <w:rFonts w:ascii="Segoe UI" w:hAnsi="Segoe UI"/>
          <w:b/>
          <w:color w:val="5A9118"/>
          <w:sz w:val="21"/>
        </w:rPr>
        <w:t>3) Balustrade de protecție</w:t>
      </w:r>
    </w:p>
    <w:p>
      <w:pPr>
        <w:pStyle w:val="ListBullet"/>
        <w:spacing w:after="60" w:before="0"/>
      </w:pPr>
      <w:r>
        <w:rPr>
          <w:rFonts w:ascii="Segoe UI" w:hAnsi="Segoe UI"/>
          <w:b w:val="0"/>
          <w:color w:val="33312D"/>
          <w:sz w:val="19"/>
        </w:rPr>
        <w:t>Balustrade la toate echipamentele mai înalte de 1 m, pe spate și pe laturile platformei (excepție: funbox-uri înalte pentru sărituri).</w:t>
      </w:r>
    </w:p>
    <w:p>
      <w:pPr>
        <w:pStyle w:val="ListBullet"/>
        <w:spacing w:after="60" w:before="0"/>
      </w:pPr>
      <w:r>
        <w:rPr>
          <w:rFonts w:ascii="Segoe UI" w:hAnsi="Segoe UI"/>
          <w:b w:val="0"/>
          <w:color w:val="33312D"/>
          <w:sz w:val="19"/>
        </w:rPr>
        <w:t>Traverse verticale; spațiu liber maximum 89 mm; înălțime minimă 1,2 m peste platformă.</w:t>
      </w:r>
    </w:p>
    <w:p>
      <w:pPr>
        <w:pStyle w:val="ListBullet"/>
        <w:spacing w:after="60" w:before="0"/>
      </w:pPr>
      <w:r>
        <w:rPr>
          <w:rFonts w:ascii="Segoe UI" w:hAnsi="Segoe UI"/>
          <w:b w:val="0"/>
          <w:color w:val="33312D"/>
          <w:sz w:val="19"/>
        </w:rPr>
        <w:t>Cadru din oțel galvanizat — profile 30×30 mm și țevi Ø16 mm, conform EN 14974 cu modificările ulterioare.</w:t>
      </w:r>
    </w:p>
    <w:p>
      <w:pPr>
        <w:pStyle w:val="ListBullet"/>
        <w:spacing w:after="60" w:before="0"/>
      </w:pPr>
      <w:r>
        <w:rPr>
          <w:rFonts w:ascii="Segoe UI" w:hAnsi="Segoe UI"/>
          <w:b w:val="0"/>
          <w:color w:val="33312D"/>
          <w:sz w:val="19"/>
        </w:rPr>
        <w:t>Balustrade înșurubate între ele cu șuruburi metrice și fixate de rampe cu șurub cu cap hexagonal SW 17 ø10×90 (anexa nr. 6).</w:t>
      </w:r>
    </w:p>
    <w:p>
      <w:pPr>
        <w:spacing w:after="60" w:before="120"/>
      </w:pPr>
      <w:r>
        <w:rPr>
          <w:rFonts w:ascii="Segoe UI" w:hAnsi="Segoe UI"/>
          <w:b/>
          <w:color w:val="5A9118"/>
          <w:sz w:val="21"/>
        </w:rPr>
        <w:t>4) Oțel</w:t>
      </w:r>
    </w:p>
    <w:p>
      <w:pPr>
        <w:pStyle w:val="ListBullet"/>
        <w:spacing w:after="60" w:before="0"/>
      </w:pPr>
      <w:r>
        <w:rPr>
          <w:rFonts w:ascii="Segoe UI" w:hAnsi="Segoe UI"/>
          <w:b w:val="0"/>
          <w:color w:val="33312D"/>
          <w:sz w:val="19"/>
        </w:rPr>
        <w:t>Toate elementele din oțel sunt din oțel galvanizat.</w:t>
      </w:r>
    </w:p>
    <w:p>
      <w:pPr>
        <w:pStyle w:val="ListBullet"/>
        <w:spacing w:after="60" w:before="0"/>
      </w:pPr>
      <w:r>
        <w:rPr>
          <w:rFonts w:ascii="Segoe UI" w:hAnsi="Segoe UI"/>
          <w:b w:val="0"/>
          <w:color w:val="33312D"/>
          <w:sz w:val="19"/>
        </w:rPr>
        <w:t>Coping din țeavă galvanizată Ø48–60,3 mm, fixat de platforme cu Spax/Torx 6x60, capete astupate cu dopuri de oțel (anexa nr. 7).</w:t>
      </w:r>
    </w:p>
    <w:p>
      <w:pPr>
        <w:pStyle w:val="ListBullet"/>
        <w:spacing w:after="60" w:before="0"/>
      </w:pPr>
      <w:r>
        <w:rPr>
          <w:rFonts w:ascii="Segoe UI" w:hAnsi="Segoe UI"/>
          <w:b w:val="0"/>
          <w:color w:val="33312D"/>
          <w:sz w:val="19"/>
        </w:rPr>
        <w:t>Pe platformele cu coping, table de 3 mm / 120 mm de-a lungul copingului, pentru protecția stratului de rulare (anexa nr. 7).</w:t>
      </w:r>
    </w:p>
    <w:p>
      <w:pPr>
        <w:pStyle w:val="ListBullet"/>
        <w:spacing w:after="60" w:before="0"/>
      </w:pPr>
      <w:r>
        <w:rPr>
          <w:rFonts w:ascii="Segoe UI" w:hAnsi="Segoe UI"/>
          <w:b w:val="0"/>
          <w:color w:val="33312D"/>
          <w:sz w:val="19"/>
        </w:rPr>
        <w:t>Corniere cu rotunjiri la îndoitură (oțel laminat la rece); rail-uri pe table de 6 mm (60×250 mm), fixate cu Spax 6x60.</w:t>
      </w:r>
    </w:p>
    <w:p>
      <w:pPr>
        <w:pStyle w:val="ListBullet"/>
        <w:spacing w:after="60" w:before="0"/>
      </w:pPr>
      <w:r>
        <w:rPr>
          <w:rFonts w:ascii="Segoe UI" w:hAnsi="Segoe UI"/>
          <w:b w:val="0"/>
          <w:color w:val="33312D"/>
          <w:sz w:val="19"/>
        </w:rPr>
        <w:t>Table de acces 350–400 mm lățime, 3 mm grosime, sprijinite pe construcție minimum 60 mm, în locaș frezat (anexa nr. 8).</w:t>
      </w:r>
    </w:p>
    <w:p>
      <w:pPr>
        <w:pStyle w:val="ListBullet"/>
        <w:spacing w:after="60" w:before="0"/>
      </w:pPr>
      <w:r>
        <w:rPr>
          <w:rFonts w:ascii="Segoe UI" w:hAnsi="Segoe UI"/>
          <w:b w:val="0"/>
          <w:color w:val="33312D"/>
          <w:sz w:val="19"/>
        </w:rPr>
        <w:t>Muchiile expuse ale covorului RampLine protejate cu corniere galvanizate (3 mm / 30–50 mm); pe curbe — laminate (anexa nr. 9).</w:t>
      </w:r>
    </w:p>
    <w:p>
      <w:pPr>
        <w:pStyle w:val="ListBullet"/>
        <w:spacing w:after="60" w:before="0"/>
      </w:pPr>
      <w:r>
        <w:rPr>
          <w:rFonts w:ascii="Segoe UI" w:hAnsi="Segoe UI"/>
          <w:b w:val="0"/>
          <w:color w:val="33312D"/>
          <w:sz w:val="19"/>
        </w:rPr>
        <w:t>Cantul metalic superior al grindbox-urilor din cornier minimum 50×50 mm, grosime perete ≥ 3 mm (anexa nr. 10).</w:t>
      </w:r>
    </w:p>
    <w:p>
      <w:pPr>
        <w:spacing w:after="60" w:before="120"/>
      </w:pPr>
      <w:r>
        <w:rPr>
          <w:rFonts w:ascii="Segoe UI" w:hAnsi="Segoe UI"/>
          <w:b/>
          <w:color w:val="5A9118"/>
          <w:sz w:val="21"/>
        </w:rPr>
        <w:t>5) Siguranță</w:t>
      </w:r>
    </w:p>
    <w:p>
      <w:pPr>
        <w:pStyle w:val="ListBullet"/>
        <w:spacing w:after="60" w:before="0"/>
      </w:pPr>
      <w:r>
        <w:rPr>
          <w:rFonts w:ascii="Segoe UI" w:hAnsi="Segoe UI"/>
          <w:b w:val="0"/>
          <w:color w:val="33312D"/>
          <w:sz w:val="19"/>
        </w:rPr>
        <w:t>Instrucțiuni de utilizare amplasate vizibil la intrare (anexa nr. 11); zone de siguranță respectate.</w:t>
      </w:r>
    </w:p>
    <w:p>
      <w:pPr>
        <w:pStyle w:val="ListBullet"/>
        <w:spacing w:after="60" w:before="0"/>
      </w:pPr>
      <w:r>
        <w:rPr>
          <w:rFonts w:ascii="Segoe UI" w:hAnsi="Segoe UI"/>
          <w:b w:val="0"/>
          <w:color w:val="33312D"/>
          <w:sz w:val="19"/>
        </w:rPr>
        <w:t>Lucrări conform reglementărilor în vigoare, sub supravegherea persoanelor autorizate.</w:t>
      </w:r>
    </w:p>
    <w:p>
      <w:pPr>
        <w:pStyle w:val="ListBullet"/>
        <w:spacing w:after="60" w:before="0"/>
      </w:pPr>
      <w:r>
        <w:rPr>
          <w:rFonts w:ascii="Segoe UI" w:hAnsi="Segoe UI"/>
          <w:b w:val="0"/>
          <w:color w:val="33312D"/>
          <w:sz w:val="19"/>
        </w:rPr>
        <w:t>Materiale cu atestate, agremente tehnice și declarații de conformitate; echipamente conforme EN 14974.</w:t>
      </w:r>
    </w:p>
    <w:p>
      <w:pPr>
        <w:spacing w:after="100" w:before="200"/>
      </w:pPr>
      <w:r>
        <w:rPr>
          <w:rFonts w:ascii="Segoe UI" w:hAnsi="Segoe UI"/>
          <w:b/>
          <w:color w:val="33312D"/>
          <w:sz w:val="26"/>
        </w:rPr>
        <w:t>II. Toleranțe</w:t>
      </w:r>
    </w:p>
    <w:p>
      <w:pPr>
        <w:spacing w:after="40" w:before="0"/>
        <w:ind w:left="240"/>
      </w:pPr>
      <w:r>
        <w:rPr>
          <w:rFonts w:ascii="Segoe UI" w:hAnsi="Segoe UI"/>
          <w:b w:val="0"/>
          <w:color w:val="33312D"/>
          <w:sz w:val="19"/>
        </w:rPr>
        <w:t>1. Muchiile expuse protejate cu oțel galvanizat.</w:t>
      </w:r>
    </w:p>
    <w:p>
      <w:pPr>
        <w:spacing w:after="40" w:before="0"/>
        <w:ind w:left="240"/>
      </w:pPr>
      <w:r>
        <w:rPr>
          <w:rFonts w:ascii="Segoe UI" w:hAnsi="Segoe UI"/>
          <w:b w:val="0"/>
          <w:color w:val="33312D"/>
          <w:sz w:val="19"/>
        </w:rPr>
        <w:t>2. Copingurile pot ieși cu cel mult 12 mm peste suprafața blatului.</w:t>
      </w:r>
    </w:p>
    <w:p>
      <w:pPr>
        <w:spacing w:after="40" w:before="0"/>
        <w:ind w:left="240"/>
      </w:pPr>
      <w:r>
        <w:rPr>
          <w:rFonts w:ascii="Segoe UI" w:hAnsi="Segoe UI"/>
          <w:b w:val="0"/>
          <w:color w:val="33312D"/>
          <w:sz w:val="19"/>
        </w:rPr>
        <w:t>3. Razele nu pot varia cu mai mult de 20 mm față de cota stabilită.</w:t>
      </w:r>
    </w:p>
    <w:p>
      <w:pPr>
        <w:spacing w:after="40" w:before="0"/>
        <w:ind w:left="240"/>
      </w:pPr>
      <w:r>
        <w:rPr>
          <w:rFonts w:ascii="Segoe UI" w:hAnsi="Segoe UI"/>
          <w:b w:val="0"/>
          <w:color w:val="33312D"/>
          <w:sz w:val="19"/>
        </w:rPr>
        <w:t>4. Orificii pe orizontală la minimum 450 mm; la muchii, minimum 250 mm; simetrice la muchiile care se ating.</w:t>
      </w:r>
    </w:p>
    <w:p>
      <w:pPr>
        <w:spacing w:after="40" w:before="0"/>
        <w:ind w:left="240"/>
      </w:pPr>
      <w:r>
        <w:rPr>
          <w:rFonts w:ascii="Segoe UI" w:hAnsi="Segoe UI"/>
          <w:b w:val="0"/>
          <w:color w:val="33312D"/>
          <w:sz w:val="19"/>
        </w:rPr>
        <w:t>5. Dimensiunile de gabarit pot diferi cu 6% în funcție de unghiuri.</w:t>
      </w:r>
    </w:p>
    <w:p>
      <w:pPr>
        <w:spacing w:after="100" w:before="200"/>
      </w:pPr>
      <w:r>
        <w:rPr>
          <w:rFonts w:ascii="Segoe UI" w:hAnsi="Segoe UI"/>
          <w:b/>
          <w:color w:val="33312D"/>
          <w:sz w:val="26"/>
        </w:rPr>
        <w:t>III. Cunoștințe și experiență</w:t>
      </w:r>
    </w:p>
    <w:p>
      <w:pPr>
        <w:spacing w:after="80" w:before="0"/>
      </w:pPr>
      <w:r>
        <w:rPr>
          <w:rFonts w:ascii="Segoe UI" w:hAnsi="Segoe UI"/>
          <w:b w:val="0"/>
          <w:color w:val="33312D"/>
          <w:sz w:val="19"/>
        </w:rPr>
        <w:t>Skateparkul este un obiectiv cu risc ridicat de accidentare; execuția se încredințează doar firmelor cu experiență dovedită în construcția de skateparkuri (prin referințe).</w:t>
      </w:r>
    </w:p>
    <w:p>
      <w:pPr>
        <w:spacing w:after="100" w:before="200"/>
      </w:pPr>
      <w:r>
        <w:rPr>
          <w:rFonts w:ascii="Segoe UI" w:hAnsi="Segoe UI"/>
          <w:b/>
          <w:color w:val="33312D"/>
          <w:sz w:val="26"/>
        </w:rPr>
        <w:t>IV. Condițiile de garanție pentru opțiunea Prestige</w:t>
      </w:r>
    </w:p>
    <w:p>
      <w:pPr>
        <w:spacing w:after="80" w:before="0"/>
      </w:pPr>
      <w:r>
        <w:rPr>
          <w:rFonts w:ascii="Segoe UI" w:hAnsi="Segoe UI"/>
          <w:b w:val="0"/>
          <w:color w:val="33312D"/>
          <w:sz w:val="19"/>
        </w:rPr>
        <w:t>Varianta Prestige (suprafață de rulare RampLine) beneficiază de garanție extinsă pentru elementul de rulare și structură, cu respectarea condițiilor de întreținere.</w:t>
      </w:r>
    </w:p>
    <w:p>
      <w:pPr>
        <w:spacing w:after="100" w:before="200"/>
      </w:pPr>
      <w:r>
        <w:rPr>
          <w:rFonts w:ascii="Segoe UI" w:hAnsi="Segoe UI"/>
          <w:b/>
          <w:color w:val="33312D"/>
          <w:sz w:val="26"/>
        </w:rPr>
        <w:t>V. Lista anexelor</w:t>
      </w:r>
    </w:p>
    <w:p>
      <w:pPr>
        <w:spacing w:after="30" w:before="0"/>
        <w:ind w:left="240"/>
      </w:pPr>
      <w:r>
        <w:rPr>
          <w:rFonts w:ascii="Segoe UI" w:hAnsi="Segoe UI"/>
          <w:b w:val="0"/>
          <w:color w:val="33312D"/>
          <w:sz w:val="19"/>
        </w:rPr>
        <w:t>Anexa nr. 1 — Îmbinarea plăcilor de construcție și a modulelor</w:t>
      </w:r>
    </w:p>
    <w:p>
      <w:pPr>
        <w:spacing w:after="30" w:before="0"/>
        <w:ind w:left="240"/>
      </w:pPr>
      <w:r>
        <w:rPr>
          <w:rFonts w:ascii="Segoe UI" w:hAnsi="Segoe UI"/>
          <w:b w:val="0"/>
          <w:color w:val="33312D"/>
          <w:sz w:val="19"/>
        </w:rPr>
        <w:t>Anexa nr. 2 — Ventilația și izolarea elementelor</w:t>
      </w:r>
    </w:p>
    <w:p>
      <w:pPr>
        <w:spacing w:after="30" w:before="0"/>
        <w:ind w:left="240"/>
      </w:pPr>
      <w:r>
        <w:rPr>
          <w:rFonts w:ascii="Segoe UI" w:hAnsi="Segoe UI"/>
          <w:b w:val="0"/>
          <w:color w:val="33312D"/>
          <w:sz w:val="19"/>
        </w:rPr>
        <w:t>Anexa nr. 3 — Capac de vizitare pentru întreținere-inspecție</w:t>
      </w:r>
    </w:p>
    <w:p>
      <w:pPr>
        <w:spacing w:after="30" w:before="0"/>
        <w:ind w:left="240"/>
      </w:pPr>
      <w:r>
        <w:rPr>
          <w:rFonts w:ascii="Segoe UI" w:hAnsi="Segoe UI"/>
          <w:b w:val="0"/>
          <w:color w:val="33312D"/>
          <w:sz w:val="19"/>
        </w:rPr>
        <w:t>Anexa nr. 4 — Suprafața de rulare – muchii, șuruburi și orificii</w:t>
      </w:r>
    </w:p>
    <w:p>
      <w:pPr>
        <w:spacing w:after="30" w:before="0"/>
        <w:ind w:left="240"/>
      </w:pPr>
      <w:r>
        <w:rPr>
          <w:rFonts w:ascii="Segoe UI" w:hAnsi="Segoe UI"/>
          <w:b w:val="0"/>
          <w:color w:val="33312D"/>
          <w:sz w:val="19"/>
        </w:rPr>
        <w:t>Anexa nr. 5 — Placarea grindbox-urilor cu covor RampLine</w:t>
      </w:r>
    </w:p>
    <w:p>
      <w:pPr>
        <w:spacing w:after="30" w:before="0"/>
        <w:ind w:left="240"/>
      </w:pPr>
      <w:r>
        <w:rPr>
          <w:rFonts w:ascii="Segoe UI" w:hAnsi="Segoe UI"/>
          <w:b w:val="0"/>
          <w:color w:val="33312D"/>
          <w:sz w:val="19"/>
        </w:rPr>
        <w:t>Anexa nr. 6 — Balustrade</w:t>
      </w:r>
    </w:p>
    <w:p>
      <w:pPr>
        <w:spacing w:after="30" w:before="0"/>
        <w:ind w:left="240"/>
      </w:pPr>
      <w:r>
        <w:rPr>
          <w:rFonts w:ascii="Segoe UI" w:hAnsi="Segoe UI"/>
          <w:b w:val="0"/>
          <w:color w:val="33312D"/>
          <w:sz w:val="19"/>
        </w:rPr>
        <w:t>Anexa nr. 7 — Coping</w:t>
      </w:r>
    </w:p>
    <w:p>
      <w:pPr>
        <w:spacing w:after="30" w:before="0"/>
        <w:ind w:left="240"/>
      </w:pPr>
      <w:r>
        <w:rPr>
          <w:rFonts w:ascii="Segoe UI" w:hAnsi="Segoe UI"/>
          <w:b w:val="0"/>
          <w:color w:val="33312D"/>
          <w:sz w:val="19"/>
        </w:rPr>
        <w:t>Anexa nr. 8 — Tablă de acces</w:t>
      </w:r>
    </w:p>
    <w:p>
      <w:pPr>
        <w:spacing w:after="30" w:before="0"/>
        <w:ind w:left="240"/>
      </w:pPr>
      <w:r>
        <w:rPr>
          <w:rFonts w:ascii="Segoe UI" w:hAnsi="Segoe UI"/>
          <w:b w:val="0"/>
          <w:color w:val="33312D"/>
          <w:sz w:val="19"/>
        </w:rPr>
        <w:t>Anexa nr. 9 — Elemente din oțel – protecția muchiilor</w:t>
      </w:r>
    </w:p>
    <w:p>
      <w:pPr>
        <w:spacing w:after="30" w:before="0"/>
        <w:ind w:left="240"/>
      </w:pPr>
      <w:r>
        <w:rPr>
          <w:rFonts w:ascii="Segoe UI" w:hAnsi="Segoe UI"/>
          <w:b w:val="0"/>
          <w:color w:val="33312D"/>
          <w:sz w:val="19"/>
        </w:rPr>
        <w:t>Anexa nr. 10 — Cantul metalic al grindbox-urilor</w:t>
      </w:r>
    </w:p>
    <w:p>
      <w:pPr>
        <w:spacing w:after="30" w:before="0"/>
        <w:ind w:left="240"/>
      </w:pPr>
      <w:r>
        <w:rPr>
          <w:rFonts w:ascii="Segoe UI" w:hAnsi="Segoe UI"/>
          <w:b w:val="0"/>
          <w:color w:val="33312D"/>
          <w:sz w:val="19"/>
        </w:rPr>
        <w:t>Anexa nr. 11 — Instrucțiuni de utilizare și plăcuța de identificare</w:t>
      </w:r>
    </w:p>
    <w:p>
      <w:r>
        <w:br w:type="page"/>
      </w:r>
    </w:p>
    <w:p>
      <w:pPr>
        <w:spacing w:after="100" w:before="200"/>
      </w:pPr>
      <w:r>
        <w:rPr>
          <w:rFonts w:ascii="Segoe UI" w:hAnsi="Segoe UI"/>
          <w:b/>
          <w:color w:val="33312D"/>
          <w:sz w:val="36"/>
        </w:rPr>
        <w:t>Anexe tehnice</w:t>
      </w:r>
    </w:p>
    <w:p>
      <w:pPr>
        <w:spacing w:after="160" w:before="0"/>
      </w:pPr>
      <w:r>
        <w:rPr>
          <w:rFonts w:ascii="Segoe UI" w:hAnsi="Segoe UI"/>
          <w:b w:val="0"/>
          <w:color w:val="75736D"/>
          <w:sz w:val="20"/>
        </w:rPr>
        <w:t>Detalii de execuție și montaj — desene TechRamps, cu note explicative în limba română.</w:t>
      </w:r>
    </w:p>
    <w:p>
      <w:pPr>
        <w:spacing w:after="100" w:before="160"/>
      </w:pPr>
      <w:r>
        <w:rPr>
          <w:rFonts w:ascii="Segoe UI" w:hAnsi="Segoe UI"/>
          <w:b/>
          <w:color w:val="33312D"/>
          <w:sz w:val="26"/>
        </w:rPr>
        <w:t>Anexa nr. 1 – Îmbinarea plăcilor de construcție și a modulelor.</w:t>
      </w:r>
    </w:p>
    <w:p>
      <w:pPr>
        <w:jc w:val="center"/>
      </w:pPr>
      <w:r>
        <w:drawing>
          <wp:inline xmlns:a="http://schemas.openxmlformats.org/drawingml/2006/main" xmlns:pic="http://schemas.openxmlformats.org/drawingml/2006/picture">
            <wp:extent cx="4937760" cy="3495759"/>
            <wp:docPr id="6" name="Picture 6"/>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Plăcile portante se prelungesc prin îmbinare în formă de puzzle sau cu eclise, pentru a evita separarea sub sarcini și tensiuni mari. Modulele se înșurubează între ele cu șuruburi galvanizate M12 și eclise din placaj de minimum 18 mm.</w:t>
      </w:r>
    </w:p>
    <w:p>
      <w:r>
        <w:br w:type="page"/>
      </w:r>
    </w:p>
    <w:p>
      <w:pPr>
        <w:spacing w:after="100" w:before="160"/>
      </w:pPr>
      <w:r>
        <w:rPr>
          <w:rFonts w:ascii="Segoe UI" w:hAnsi="Segoe UI"/>
          <w:b/>
          <w:color w:val="33312D"/>
          <w:sz w:val="26"/>
        </w:rPr>
        <w:t>Anexa nr. 2 – Ventilația și izolarea elementelor</w:t>
      </w:r>
    </w:p>
    <w:p>
      <w:pPr>
        <w:jc w:val="center"/>
      </w:pPr>
      <w:r>
        <w:drawing>
          <wp:inline xmlns:a="http://schemas.openxmlformats.org/drawingml/2006/main" xmlns:pic="http://schemas.openxmlformats.org/drawingml/2006/picture">
            <wp:extent cx="4937760" cy="3476847"/>
            <wp:docPr id="7" name="Picture 7"/>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4937760" cy="347684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Pe panourile laterale se montează un sistem de ventilație din HPL de 6 mm, iar elementele stau pe picioare de sprijin care le izolează de sol și elimină absorbția umidității (ascensiunea capilară).</w:t>
      </w:r>
    </w:p>
    <w:p>
      <w:r>
        <w:br w:type="page"/>
      </w:r>
    </w:p>
    <w:p>
      <w:pPr>
        <w:spacing w:after="100" w:before="160"/>
      </w:pPr>
      <w:r>
        <w:rPr>
          <w:rFonts w:ascii="Segoe UI" w:hAnsi="Segoe UI"/>
          <w:b/>
          <w:color w:val="33312D"/>
          <w:sz w:val="26"/>
        </w:rPr>
        <w:t>Anexa nr. 3 – Capac de vizitare pentru întreținere-inspecție.</w:t>
      </w:r>
    </w:p>
    <w:p>
      <w:pPr>
        <w:jc w:val="center"/>
      </w:pPr>
      <w:r>
        <w:drawing>
          <wp:inline xmlns:a="http://schemas.openxmlformats.org/drawingml/2006/main" xmlns:pic="http://schemas.openxmlformats.org/drawingml/2006/picture">
            <wp:extent cx="4937760" cy="3495759"/>
            <wp:docPr id="8" name="Picture 8"/>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Elementele mai înalte de 1 m și mai late de 1,8 m sunt prevăzute cu un capac de vizitare pentru inspecție și întreținere.</w:t>
      </w:r>
    </w:p>
    <w:p>
      <w:r>
        <w:br w:type="page"/>
      </w:r>
    </w:p>
    <w:p>
      <w:pPr>
        <w:spacing w:after="100" w:before="160"/>
      </w:pPr>
      <w:r>
        <w:rPr>
          <w:rFonts w:ascii="Segoe UI" w:hAnsi="Segoe UI"/>
          <w:b/>
          <w:color w:val="33312D"/>
          <w:sz w:val="26"/>
        </w:rPr>
        <w:t>Anexa nr. 4 – Suprafața de rulare – muchii, șuruburi și orificii pentru șuruburi.</w:t>
      </w:r>
    </w:p>
    <w:p>
      <w:pPr>
        <w:jc w:val="center"/>
      </w:pPr>
      <w:r>
        <w:drawing>
          <wp:inline xmlns:a="http://schemas.openxmlformats.org/drawingml/2006/main" xmlns:pic="http://schemas.openxmlformats.org/drawingml/2006/picture">
            <wp:extent cx="4937760" cy="3495759"/>
            <wp:docPr id="9" name="Picture 9"/>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Suprafața de rulare RampLine se fixează cu șuruburi îngropate la maximum 1 mm; minimum 90% dintre orificii sunt alezate, iar muchiile teșite cu mașina CNC. Rosturile dintre plăci se etanșează cu masă de etanșare-lipire.</w:t>
      </w:r>
    </w:p>
    <w:p>
      <w:r>
        <w:br w:type="page"/>
      </w:r>
    </w:p>
    <w:p>
      <w:pPr>
        <w:spacing w:after="100" w:before="160"/>
      </w:pPr>
      <w:r>
        <w:rPr>
          <w:rFonts w:ascii="Segoe UI" w:hAnsi="Segoe UI"/>
          <w:b/>
          <w:color w:val="33312D"/>
          <w:sz w:val="26"/>
        </w:rPr>
        <w:t>Anexa nr. 5 – Placarea grindbox-urilor cu covor RampLine.</w:t>
      </w:r>
    </w:p>
    <w:p>
      <w:pPr>
        <w:jc w:val="center"/>
      </w:pPr>
      <w:r>
        <w:drawing>
          <wp:inline xmlns:a="http://schemas.openxmlformats.org/drawingml/2006/main" xmlns:pic="http://schemas.openxmlformats.org/drawingml/2006/picture">
            <wp:extent cx="4937760" cy="3436883"/>
            <wp:docPr id="10" name="Picture 10"/>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4937760" cy="343688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Grindbox-urile se protejează suplimentar pe fiecare latură de rulare cu covor RampLine de 6 mm (excepție: latura care, din cauza amplasării, nu poate fi folosită).</w:t>
      </w:r>
    </w:p>
    <w:p>
      <w:r>
        <w:br w:type="page"/>
      </w:r>
    </w:p>
    <w:p>
      <w:pPr>
        <w:spacing w:after="100" w:before="160"/>
      </w:pPr>
      <w:r>
        <w:rPr>
          <w:rFonts w:ascii="Segoe UI" w:hAnsi="Segoe UI"/>
          <w:b/>
          <w:color w:val="33312D"/>
          <w:sz w:val="26"/>
        </w:rPr>
        <w:t>Anexa nr. 6 – Balustrade.</w:t>
      </w:r>
    </w:p>
    <w:p>
      <w:pPr>
        <w:jc w:val="center"/>
      </w:pPr>
      <w:r>
        <w:drawing>
          <wp:inline xmlns:a="http://schemas.openxmlformats.org/drawingml/2006/main" xmlns:pic="http://schemas.openxmlformats.org/drawingml/2006/picture">
            <wp:extent cx="4937760" cy="3479163"/>
            <wp:docPr id="11" name="Picture 11"/>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4937760" cy="347916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Balustrade de protecție din oțel galvanizat — profile 30×30 mm și țevi Ø16 mm, înălțime minimă 1,2 m peste platformă, cu traverse verticale. Spațiul liber dintre traverse nu depășește 89 mm.</w:t>
      </w:r>
    </w:p>
    <w:p>
      <w:r>
        <w:br w:type="page"/>
      </w:r>
    </w:p>
    <w:p>
      <w:pPr>
        <w:spacing w:after="100" w:before="160"/>
      </w:pPr>
      <w:r>
        <w:rPr>
          <w:rFonts w:ascii="Segoe UI" w:hAnsi="Segoe UI"/>
          <w:b/>
          <w:color w:val="33312D"/>
          <w:sz w:val="26"/>
        </w:rPr>
        <w:t>Anexa nr. 7 – Coping.</w:t>
      </w:r>
    </w:p>
    <w:p>
      <w:pPr>
        <w:jc w:val="center"/>
      </w:pPr>
      <w:r>
        <w:drawing>
          <wp:inline xmlns:a="http://schemas.openxmlformats.org/drawingml/2006/main" xmlns:pic="http://schemas.openxmlformats.org/drawingml/2006/picture">
            <wp:extent cx="4937760" cy="3460173"/>
            <wp:docPr id="12" name="Picture 12"/>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Copingul — țeavă de oțel galvanizat Ø48–60,3 mm — se astupă la capete cu dopuri de oțel. Pe platforme se protejează cu table de 3 mm și lățime 120 mm de-a lungul copingului.</w:t>
      </w:r>
    </w:p>
    <w:p>
      <w:r>
        <w:br w:type="page"/>
      </w:r>
    </w:p>
    <w:p>
      <w:pPr>
        <w:spacing w:after="100" w:before="160"/>
      </w:pPr>
      <w:r>
        <w:rPr>
          <w:rFonts w:ascii="Segoe UI" w:hAnsi="Segoe UI"/>
          <w:b/>
          <w:color w:val="33312D"/>
          <w:sz w:val="26"/>
        </w:rPr>
        <w:t>Anexa nr. 8 – Tablă de acces.</w:t>
      </w:r>
    </w:p>
    <w:p>
      <w:pPr>
        <w:jc w:val="center"/>
      </w:pPr>
      <w:r>
        <w:drawing>
          <wp:inline xmlns:a="http://schemas.openxmlformats.org/drawingml/2006/main" xmlns:pic="http://schemas.openxmlformats.org/drawingml/2006/picture">
            <wp:extent cx="4937760" cy="3460173"/>
            <wp:docPr id="13" name="Picture 13"/>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Tabla de acces (lățime 350–400 mm, grosime 3 mm) se sprijină pe element minimum 60 mm, într-un locaș frezat, creând o linie de rulare liberă și lină.</w:t>
      </w:r>
    </w:p>
    <w:p>
      <w:r>
        <w:br w:type="page"/>
      </w:r>
    </w:p>
    <w:p>
      <w:pPr>
        <w:spacing w:after="100" w:before="160"/>
      </w:pPr>
      <w:r>
        <w:rPr>
          <w:rFonts w:ascii="Segoe UI" w:hAnsi="Segoe UI"/>
          <w:b/>
          <w:color w:val="33312D"/>
          <w:sz w:val="26"/>
        </w:rPr>
        <w:t>Anexa nr. 9 – Elemente din oțel – protecția muchiilor.</w:t>
      </w:r>
    </w:p>
    <w:p>
      <w:pPr>
        <w:jc w:val="center"/>
      </w:pPr>
      <w:r>
        <w:drawing>
          <wp:inline xmlns:a="http://schemas.openxmlformats.org/drawingml/2006/main" xmlns:pic="http://schemas.openxmlformats.org/drawingml/2006/picture">
            <wp:extent cx="4937760" cy="3453287"/>
            <wp:docPr id="14" name="Picture 14"/>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4937760" cy="345328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Muchiile expuse se protejează cu corniere din oțel galvanizat (minimum 30×30×3 mm). Pe elementele curbe cornierele sunt laminate — nu se taie și nu se folosesc platbande.</w:t>
      </w:r>
    </w:p>
    <w:p>
      <w:r>
        <w:br w:type="page"/>
      </w:r>
    </w:p>
    <w:p>
      <w:pPr>
        <w:spacing w:after="100" w:before="160"/>
      </w:pPr>
      <w:r>
        <w:rPr>
          <w:rFonts w:ascii="Segoe UI" w:hAnsi="Segoe UI"/>
          <w:b/>
          <w:color w:val="33312D"/>
          <w:sz w:val="26"/>
        </w:rPr>
        <w:t>Anexa nr. 10 – Cantul metalic al grindbox-urilor.</w:t>
      </w:r>
    </w:p>
    <w:p>
      <w:pPr>
        <w:jc w:val="center"/>
      </w:pPr>
      <w:r>
        <w:drawing>
          <wp:inline xmlns:a="http://schemas.openxmlformats.org/drawingml/2006/main" xmlns:pic="http://schemas.openxmlformats.org/drawingml/2006/picture">
            <wp:extent cx="4937760" cy="3451457"/>
            <wp:docPr id="15" name="Picture 15"/>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4937760" cy="345145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Cantul metalic al grindbox-urilor se execută din cornier de minimum 50×50 mm, cu grosimea peretelui de cel puțin 3 mm, încastrat la nivel cu placa pe latura scurtă.</w:t>
      </w:r>
    </w:p>
    <w:p>
      <w:r>
        <w:br w:type="page"/>
      </w:r>
    </w:p>
    <w:p>
      <w:pPr>
        <w:spacing w:after="100" w:before="160"/>
      </w:pPr>
      <w:r>
        <w:rPr>
          <w:rFonts w:ascii="Segoe UI" w:hAnsi="Segoe UI"/>
          <w:b/>
          <w:color w:val="33312D"/>
          <w:sz w:val="26"/>
        </w:rPr>
        <w:t>Anexa nr. 11 – Instrucțiuni de utilizare a skateparkului și plăcuțe de identificare.</w:t>
      </w:r>
    </w:p>
    <w:p>
      <w:pPr>
        <w:jc w:val="center"/>
      </w:pPr>
      <w:r>
        <w:drawing>
          <wp:inline xmlns:a="http://schemas.openxmlformats.org/drawingml/2006/main" xmlns:pic="http://schemas.openxmlformats.org/drawingml/2006/picture">
            <wp:extent cx="4937760" cy="4704611"/>
            <wp:docPr id="16" name="Picture 16"/>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4937760" cy="4704611"/>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La intrarea în skatepark se montează, într-un loc vizibil, instrucțiunile de utilizare și plăcuța de identificare a echipamentului (model mai jos).</w:t>
      </w:r>
    </w:p>
    <w:p>
      <w:pPr>
        <w:spacing w:after="20" w:before="0"/>
      </w:pPr>
      <w:r>
        <w:rPr>
          <w:rFonts w:ascii="Segoe UI" w:hAnsi="Segoe UI"/>
          <w:b/>
          <w:color w:val="5A9118"/>
          <w:sz w:val="18"/>
        </w:rPr>
        <w:t>Model plăcuță de identificare</w:t>
      </w:r>
    </w:p>
    <w:p>
      <w:pPr>
        <w:jc w:val="center"/>
      </w:pPr>
      <w:r>
        <w:drawing>
          <wp:inline xmlns:a="http://schemas.openxmlformats.org/drawingml/2006/main" xmlns:pic="http://schemas.openxmlformats.org/drawingml/2006/picture">
            <wp:extent cx="2377440" cy="1472913"/>
            <wp:docPr id="17" name="Picture 17"/>
            <wp:cNvGraphicFramePr>
              <a:graphicFrameLocks noChangeAspect="1"/>
            </wp:cNvGraphicFramePr>
            <a:graphic>
              <a:graphicData uri="http://schemas.openxmlformats.org/drawingml/2006/picture">
                <pic:pic>
                  <pic:nvPicPr>
                    <pic:cNvPr id="0" name="image.jpg"/>
                    <pic:cNvPicPr/>
                  </pic:nvPicPr>
                  <pic:blipFill>
                    <a:blip r:embed="rId27"/>
                    <a:stretch>
                      <a:fillRect/>
                    </a:stretch>
                  </pic:blipFill>
                  <pic:spPr>
                    <a:xfrm>
                      <a:off x="0" y="0"/>
                      <a:ext cx="2377440" cy="1472913"/>
                    </a:xfrm>
                    <a:prstGeom prst="rect"/>
                  </pic:spPr>
                </pic:pic>
              </a:graphicData>
            </a:graphic>
          </wp:inline>
        </w:drawing>
      </w:r>
    </w:p>
    <w:p>
      <w:r>
        <w:br w:type="page"/>
      </w:r>
    </w:p>
    <w:p>
      <w:pPr>
        <w:spacing w:after="100" w:before="200"/>
      </w:pPr>
      <w:r>
        <w:rPr>
          <w:rFonts w:ascii="Segoe UI" w:hAnsi="Segoe UI"/>
          <w:b/>
          <w:color w:val="33312D"/>
          <w:sz w:val="36"/>
        </w:rPr>
        <w:t>Fișă de control</w:t>
      </w:r>
    </w:p>
    <w:p>
      <w:pPr>
        <w:spacing w:after="160" w:before="0"/>
      </w:pPr>
      <w:r>
        <w:rPr>
          <w:rFonts w:ascii="Segoe UI" w:hAnsi="Segoe UI"/>
          <w:b w:val="0"/>
          <w:color w:val="75736D"/>
          <w:sz w:val="20"/>
        </w:rPr>
        <w:t>Verificarea conformității echipamentelor cu specificația.</w:t>
      </w:r>
    </w:p>
    <w:p>
      <w:pPr>
        <w:spacing w:after="80" w:before="0"/>
      </w:pPr>
      <w:r>
        <w:rPr>
          <w:rFonts w:ascii="Segoe UI" w:hAnsi="Segoe UI"/>
          <w:b w:val="0"/>
          <w:color w:val="33312D"/>
          <w:sz w:val="19"/>
        </w:rPr>
        <w:t>☐  Grosimea profilelor de construcție este de minimum 18 mm?</w:t>
      </w:r>
    </w:p>
    <w:p>
      <w:pPr>
        <w:spacing w:after="80" w:before="0"/>
      </w:pPr>
      <w:r>
        <w:rPr>
          <w:rFonts w:ascii="Segoe UI" w:hAnsi="Segoe UI"/>
          <w:b w:val="0"/>
          <w:color w:val="33312D"/>
          <w:sz w:val="19"/>
        </w:rPr>
        <w:t>☐  Profilele de construcție sunt laminate?</w:t>
      </w:r>
    </w:p>
    <w:p>
      <w:pPr>
        <w:spacing w:after="80" w:before="0"/>
      </w:pPr>
      <w:r>
        <w:rPr>
          <w:rFonts w:ascii="Segoe UI" w:hAnsi="Segoe UI"/>
          <w:b w:val="0"/>
          <w:color w:val="33312D"/>
          <w:sz w:val="19"/>
        </w:rPr>
        <w:t>☐  Profilele au picioare/suporturi care le izolează de sol (eliminând ascensiunea capilară a umidității, anexa nr. 2)?</w:t>
      </w:r>
    </w:p>
    <w:p>
      <w:pPr>
        <w:spacing w:after="80" w:before="0"/>
      </w:pPr>
      <w:r>
        <w:rPr>
          <w:rFonts w:ascii="Segoe UI" w:hAnsi="Segoe UI"/>
          <w:b w:val="0"/>
          <w:color w:val="33312D"/>
          <w:sz w:val="19"/>
        </w:rPr>
        <w:t>☐  Fiecare grindă de construcție are la fiecare capăt minimum două șuruburi tip Torx 6x140?</w:t>
      </w:r>
    </w:p>
    <w:p>
      <w:pPr>
        <w:spacing w:after="80" w:before="0"/>
      </w:pPr>
      <w:r>
        <w:rPr>
          <w:rFonts w:ascii="Segoe UI" w:hAnsi="Segoe UI"/>
          <w:b w:val="0"/>
          <w:color w:val="33312D"/>
          <w:sz w:val="19"/>
        </w:rPr>
        <w:t>☐  Secțiunile cu formă curbă au strat suport din placaj laminat cu grosimea de minimum 9 mm?</w:t>
      </w:r>
    </w:p>
    <w:p>
      <w:pPr>
        <w:spacing w:after="80" w:before="0"/>
      </w:pPr>
      <w:r>
        <w:rPr>
          <w:rFonts w:ascii="Segoe UI" w:hAnsi="Segoe UI"/>
          <w:b w:val="0"/>
          <w:color w:val="33312D"/>
          <w:sz w:val="19"/>
        </w:rPr>
        <w:t>☐  Secțiunile cu formă dreaptă au strat suport din placaj laminat cu grosimea de minimum 18 mm?</w:t>
      </w:r>
    </w:p>
    <w:p>
      <w:pPr>
        <w:spacing w:after="80" w:before="0"/>
      </w:pPr>
      <w:r>
        <w:rPr>
          <w:rFonts w:ascii="Segoe UI" w:hAnsi="Segoe UI"/>
          <w:b w:val="0"/>
          <w:color w:val="33312D"/>
          <w:sz w:val="19"/>
        </w:rPr>
        <w:t>☐  Suprafața de rulare este realizată din covor RampLine cu grosimea minimă de 6 mm?</w:t>
      </w:r>
    </w:p>
    <w:p>
      <w:pPr>
        <w:spacing w:after="80" w:before="0"/>
      </w:pPr>
      <w:r>
        <w:rPr>
          <w:rFonts w:ascii="Segoe UI" w:hAnsi="Segoe UI"/>
          <w:b w:val="0"/>
          <w:color w:val="33312D"/>
          <w:sz w:val="19"/>
        </w:rPr>
        <w:t>☐  Spațiul dintre traversele verticale nu este mai mare de 89 mm?</w:t>
      </w:r>
    </w:p>
    <w:p>
      <w:pPr>
        <w:spacing w:after="80" w:before="0"/>
      </w:pPr>
      <w:r>
        <w:rPr>
          <w:rFonts w:ascii="Segoe UI" w:hAnsi="Segoe UI"/>
          <w:b w:val="0"/>
          <w:color w:val="33312D"/>
          <w:sz w:val="19"/>
        </w:rPr>
        <w:t>☐  Balustradele și celelalte elemente din oțel sunt realizate din oțel galvanizat?</w:t>
      </w:r>
    </w:p>
    <w:p>
      <w:pPr>
        <w:spacing w:after="80" w:before="0"/>
      </w:pPr>
      <w:r>
        <w:rPr>
          <w:rFonts w:ascii="Segoe UI" w:hAnsi="Segoe UI"/>
          <w:b w:val="0"/>
          <w:color w:val="33312D"/>
          <w:sz w:val="19"/>
        </w:rPr>
        <w:t>☐  Diametrul copingurilor pe elemente se încadrează în intervalul 48 – 60,3 mm?</w:t>
      </w:r>
    </w:p>
    <w:p>
      <w:pPr>
        <w:spacing w:after="80" w:before="0"/>
      </w:pPr>
      <w:r>
        <w:rPr>
          <w:rFonts w:ascii="Segoe UI" w:hAnsi="Segoe UI"/>
          <w:b w:val="0"/>
          <w:color w:val="33312D"/>
          <w:sz w:val="19"/>
        </w:rPr>
        <w:t>☐  Platformele pe care este instalat copingul au fixate table de protecție (lățime 120 mm) de-a lungul copingului (anexa nr. 8)?</w:t>
      </w:r>
    </w:p>
    <w:p>
      <w:pPr>
        <w:spacing w:after="80" w:before="0"/>
      </w:pPr>
      <w:r>
        <w:rPr>
          <w:rFonts w:ascii="Segoe UI" w:hAnsi="Segoe UI"/>
          <w:b w:val="0"/>
          <w:color w:val="33312D"/>
          <w:sz w:val="19"/>
        </w:rPr>
        <w:t>☐  Cornierele folosite la finisarea elementelor au rotunjire la îndoitură (corniere îndoite la rece)?</w:t>
      </w:r>
    </w:p>
    <w:p>
      <w:pPr>
        <w:spacing w:after="80" w:before="0"/>
      </w:pPr>
      <w:r>
        <w:rPr>
          <w:rFonts w:ascii="Segoe UI" w:hAnsi="Segoe UI"/>
          <w:b w:val="0"/>
          <w:color w:val="33312D"/>
          <w:sz w:val="19"/>
        </w:rPr>
        <w:t>☐  Orificiile din table sunt teșite astfel încât capetele șuruburilor să nu iasă peste suprafața tablei?</w:t>
      </w:r>
    </w:p>
    <w:p>
      <w:pPr>
        <w:spacing w:after="80" w:before="0"/>
      </w:pPr>
      <w:r>
        <w:rPr>
          <w:rFonts w:ascii="Segoe UI" w:hAnsi="Segoe UI"/>
          <w:b w:val="0"/>
          <w:color w:val="33312D"/>
          <w:sz w:val="19"/>
        </w:rPr>
        <w:t>☐  Tablele de acces au lățimea de 350-400 mm și grosimea de 3 mm?</w:t>
      </w:r>
    </w:p>
    <w:p>
      <w:pPr>
        <w:spacing w:after="80" w:before="0"/>
      </w:pPr>
      <w:r>
        <w:rPr>
          <w:rFonts w:ascii="Segoe UI" w:hAnsi="Segoe UI"/>
          <w:b w:val="0"/>
          <w:color w:val="33312D"/>
          <w:sz w:val="19"/>
        </w:rPr>
        <w:t>☐  Pragurile metalice de la colțuri și muchiile piramidelor formează o trecere lină?</w:t>
      </w:r>
    </w:p>
    <w:p>
      <w:pPr>
        <w:spacing w:after="80" w:before="0"/>
      </w:pPr>
      <w:r>
        <w:rPr>
          <w:rFonts w:ascii="Segoe UI" w:hAnsi="Segoe UI"/>
          <w:b w:val="0"/>
          <w:color w:val="33312D"/>
          <w:sz w:val="19"/>
        </w:rPr>
        <w:t>☐  Echipamentelor montate le-au fost atașate instrucțiunile de utilizare a skateparkului?</w:t>
      </w:r>
    </w:p>
    <w:p>
      <w:pPr>
        <w:spacing w:after="80" w:before="0"/>
      </w:pPr>
      <w:r>
        <w:rPr>
          <w:rFonts w:ascii="Segoe UI" w:hAnsi="Segoe UI"/>
          <w:b w:val="0"/>
          <w:color w:val="33312D"/>
          <w:sz w:val="19"/>
        </w:rPr>
        <w:t>☐  Instrucțiunile de utilizare au fost montate într-un loc vizibil?</w:t>
      </w:r>
    </w:p>
    <w:sectPr w:rsidR="00FC693F" w:rsidRPr="0006063C" w:rsidSect="00034616">
      <w:headerReference w:type="default" r:id="rId9"/>
      <w:footerReference w:type="default" r:id="rId10"/>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Segoe UI" w:hAnsi="Segoe UI"/>
        <w:color w:val="75736D"/>
        <w:sz w:val="15"/>
      </w:rPr>
      <w:t>Loftrek SRL · distribuitor autorizat TechRamps în România · loftrek.ro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4536"/>
      <w:gridCol w:w="4536"/>
    </w:tblGrid>
    <w:tr>
      <w:tc>
        <w:tcPr>
          <w:tcW w:type="dxa" w:w="4536"/>
        </w:tcPr>
        <w:p>
          <w:r>
            <w:drawing>
              <wp:inline xmlns:a="http://schemas.openxmlformats.org/drawingml/2006/main" xmlns:pic="http://schemas.openxmlformats.org/drawingml/2006/picture">
                <wp:extent cx="540040" cy="164592"/>
                <wp:docPr id="1" name="Picture 1"/>
                <wp:cNvGraphicFramePr>
                  <a:graphicFrameLocks noChangeAspect="1"/>
                </wp:cNvGraphicFramePr>
                <a:graphic>
                  <a:graphicData uri="http://schemas.openxmlformats.org/drawingml/2006/picture">
                    <pic:pic>
                      <pic:nvPicPr>
                        <pic:cNvPr id="0" name="loftrek-logo.png"/>
                        <pic:cNvPicPr/>
                      </pic:nvPicPr>
                      <pic:blipFill>
                        <a:blip r:embed="rId1"/>
                        <a:stretch>
                          <a:fillRect/>
                        </a:stretch>
                      </pic:blipFill>
                      <pic:spPr>
                        <a:xfrm>
                          <a:off x="0" y="0"/>
                          <a:ext cx="540040" cy="164592"/>
                        </a:xfrm>
                        <a:prstGeom prst="rect"/>
                      </pic:spPr>
                    </pic:pic>
                  </a:graphicData>
                </a:graphic>
              </wp:inline>
            </w:drawing>
          </w:r>
        </w:p>
      </w:tc>
      <w:tc>
        <w:tcPr>
          <w:tcW w:type="dxa" w:w="4536"/>
        </w:tcPr>
        <w:p>
          <w:pPr>
            <w:jc w:val="right"/>
          </w:pPr>
          <w:r>
            <w:drawing>
              <wp:inline xmlns:a="http://schemas.openxmlformats.org/drawingml/2006/main" xmlns:pic="http://schemas.openxmlformats.org/drawingml/2006/picture">
                <wp:extent cx="884903" cy="137160"/>
                <wp:docPr id="2" name="Picture 2"/>
                <wp:cNvGraphicFramePr>
                  <a:graphicFrameLocks noChangeAspect="1"/>
                </wp:cNvGraphicFramePr>
                <a:graphic>
                  <a:graphicData uri="http://schemas.openxmlformats.org/drawingml/2006/picture">
                    <pic:pic>
                      <pic:nvPicPr>
                        <pic:cNvPr id="0" name="techramps-logo.png"/>
                        <pic:cNvPicPr/>
                      </pic:nvPicPr>
                      <pic:blipFill>
                        <a:blip r:embed="rId2"/>
                        <a:stretch>
                          <a:fillRect/>
                        </a:stretch>
                      </pic:blipFill>
                      <pic:spPr>
                        <a:xfrm>
                          <a:off x="0" y="0"/>
                          <a:ext cx="884903" cy="137160"/>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egoe UI" w:hAnsi="Segoe UI" w:eastAsia="Segoe UI"/>
      <w:color w:val="3331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pn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