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PSM09</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PSM09</w:t>
            </w:r>
          </w:p>
        </w:tc>
      </w:tr>
      <w:tr>
        <w:tc>
          <w:tcPr>
            <w:tcW w:type="dxa" w:w="5100"/>
          </w:tcPr>
          <w:p>
            <w:r>
              <w:rPr>
                <w:rFonts w:ascii="Segoe UI" w:hAnsi="Segoe UI"/>
                <w:b/>
                <w:sz w:val="19"/>
              </w:rPr>
              <w:t>Suprafață recomandată</w:t>
            </w:r>
          </w:p>
        </w:tc>
        <w:tc>
          <w:tcPr>
            <w:tcW w:type="dxa" w:w="5100"/>
          </w:tcPr>
          <w:p>
            <w:r>
              <w:rPr>
                <w:rFonts w:ascii="Segoe UI" w:hAnsi="Segoe UI"/>
                <w:sz w:val="19"/>
              </w:rPr>
              <w:t>29,55 × 12 m</w:t>
            </w:r>
          </w:p>
        </w:tc>
      </w:tr>
      <w:tr>
        <w:tc>
          <w:tcPr>
            <w:tcW w:type="dxa" w:w="5100"/>
          </w:tcPr>
          <w:p>
            <w:r>
              <w:rPr>
                <w:rFonts w:ascii="Segoe UI" w:hAnsi="Segoe UI"/>
                <w:b/>
                <w:sz w:val="19"/>
              </w:rPr>
              <w:t>Echipamente</w:t>
            </w:r>
          </w:p>
        </w:tc>
        <w:tc>
          <w:tcPr>
            <w:tcW w:type="dxa" w:w="5100"/>
          </w:tcPr>
          <w:p>
            <w:r>
              <w:rPr>
                <w:rFonts w:ascii="Segoe UI" w:hAnsi="Segoe UI"/>
                <w:sz w:val="19"/>
              </w:rPr>
              <w:t>6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Pumptrack PC3</w:t>
      </w:r>
    </w:p>
    <w:p>
      <w:pPr>
        <w:jc w:val="center"/>
      </w:pPr>
      <w:r>
        <w:drawing>
          <wp:inline xmlns:a="http://schemas.openxmlformats.org/drawingml/2006/main" xmlns:pic="http://schemas.openxmlformats.org/drawingml/2006/picture">
            <wp:extent cx="4206240" cy="2395315"/>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239531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2257x1228x50/97</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Elementul de rulare realizat din compozit de sticlă pe bază de rășină cu parametri mecanici ridicați și rezistență ridicată.</w:t>
        <w:br/>
        <w:t>Partea superioară a compozitului este acoperită cu un strat antiderapant TechGrip. Pe suprafața superioară a stratului de rulare nu se pot afla</w:t>
        <w:br/>
        <w:t>elemente care îl leagă de elementele de construcție. Îmbinările cu șuruburi inferioare trebuie întărite cu corniere galvanizate la cald</w:t>
        <w:br/>
        <w:t>din tablă de oțel cu grosimea de min. 4 mm. Elemente bazate pe o construcție din placaj rezistent la apă, laminat pe ambele fețe, cu</w:t>
        <w:br/>
        <w:t>grosimea de 18 mm și lemn impregnat de larice.</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w:t>
        <w:br/>
        <w:t>acreditat de Centrul Polonez de Acreditare. Certificatul furnizat de Executant trebuie să confirme controlul</w:t>
        <w:br/>
        <w:t>de siguranță al produsului și să includă monitorizarea producției de către un organism de testare independent și autorizat. Nu</w:t>
        <w:br/>
        <w:t>se admite prezentarea de avize tehnice emise de asociații sau experți, întrucât acestea nu sunt organisme</w:t>
        <w:br/>
        <w:t>abilitate să elibereze certificate care atestă conformitatea produsului cu norma. Achizitorul solicită furnizarea</w:t>
        <w:br/>
        <w:t>certificatelor împreună cu oferta.</w:t>
      </w:r>
    </w:p>
    <w:p>
      <w:r>
        <w:br w:type="page"/>
      </w:r>
    </w:p>
    <w:p>
      <w:pPr>
        <w:spacing w:after="100" w:before="80"/>
      </w:pPr>
      <w:r>
        <w:rPr>
          <w:rFonts w:ascii="Segoe UI" w:hAnsi="Segoe UI"/>
          <w:b/>
          <w:color w:val="33312D"/>
          <w:sz w:val="26"/>
        </w:rPr>
        <w:t>Echipament nr. 2 - Quarter Pipe</w:t>
      </w:r>
    </w:p>
    <w:p>
      <w:pPr>
        <w:jc w:val="center"/>
      </w:pPr>
      <w:r>
        <w:drawing>
          <wp:inline xmlns:a="http://schemas.openxmlformats.org/drawingml/2006/main" xmlns:pic="http://schemas.openxmlformats.org/drawingml/2006/picture">
            <wp:extent cx="4206240" cy="4109610"/>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410961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345x366x180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Funbox</w:t>
      </w:r>
    </w:p>
    <w:p>
      <w:pPr>
        <w:jc w:val="center"/>
      </w:pPr>
      <w:r>
        <w:drawing>
          <wp:inline xmlns:a="http://schemas.openxmlformats.org/drawingml/2006/main" xmlns:pic="http://schemas.openxmlformats.org/drawingml/2006/picture">
            <wp:extent cx="4206240" cy="2443658"/>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44365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720x488x60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rail 2/3 și un grindbox care ocupă toată</w:t>
        <w:br/>
        <w:t>lungimea obstacolului. Poate fi extins în orice mod, ceea ce oferă posibilități mai mari de a învăța figuri noi. Skateboarderii</w:t>
        <w:br/>
        <w:t>preferă un funbox cu cât mai multe combinații, în timp ce practicanții de BMX, rolerii și cei pe trotinetă preferă elementele mai înalte, care permit</w:t>
        <w:br/>
        <w:t>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Bank Ramp</w:t>
      </w:r>
    </w:p>
    <w:p>
      <w:pPr>
        <w:jc w:val="center"/>
      </w:pPr>
      <w:r>
        <w:drawing>
          <wp:inline xmlns:a="http://schemas.openxmlformats.org/drawingml/2006/main" xmlns:pic="http://schemas.openxmlformats.org/drawingml/2006/picture">
            <wp:extent cx="4206240" cy="3820445"/>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382044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470x366x180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Ledge 2</w:t>
      </w:r>
    </w:p>
    <w:p>
      <w:pPr>
        <w:jc w:val="center"/>
      </w:pPr>
      <w:r>
        <w:drawing>
          <wp:inline xmlns:a="http://schemas.openxmlformats.org/drawingml/2006/main" xmlns:pic="http://schemas.openxmlformats.org/drawingml/2006/picture">
            <wp:extent cx="4206240" cy="2839907"/>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839907"/>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286x60x35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6 - Rail drept</w:t>
      </w:r>
    </w:p>
    <w:p>
      <w:pPr>
        <w:jc w:val="center"/>
      </w:pPr>
      <w:r>
        <w:drawing>
          <wp:inline xmlns:a="http://schemas.openxmlformats.org/drawingml/2006/main" xmlns:pic="http://schemas.openxmlformats.org/drawingml/2006/picture">
            <wp:extent cx="4206240" cy="2399239"/>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399239"/>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400x5x40</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8" name="Picture 8"/>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8" name="Picture 18"/>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pn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