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PSM04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60" w:before="0"/>
      </w:pPr>
      <w:r>
        <w:rPr>
          <w:rFonts w:ascii="Segoe UI" w:hAnsi="Segoe UI"/>
          <w:b w:val="0"/>
          <w:color w:val="75736D"/>
          <w:sz w:val="19"/>
        </w:rPr>
        <w:t>Suprafață recomandată de amplasare: 24 × 13,2 m.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Quarter Pipe  (dimensiuni: 275x488x95)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Grindbox set  (dimensiuni: 488x243x20/40/60)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3. Grindbox 12  (dimensiuni: 488x240x65/90)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4. Funbox cu rail  (dimensiuni: 420x244x45)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5. Ledge 1  (dimensiuni: 250x30x40)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6. Rail drept mic - profil  (dimensiuni: 250x8x40)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