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PSM02</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PSM02</w:t>
            </w:r>
          </w:p>
        </w:tc>
      </w:tr>
      <w:tr>
        <w:tc>
          <w:tcPr>
            <w:tcW w:type="dxa" w:w="5100"/>
          </w:tcPr>
          <w:p>
            <w:r>
              <w:rPr>
                <w:rFonts w:ascii="Segoe UI" w:hAnsi="Segoe UI"/>
                <w:b/>
                <w:sz w:val="19"/>
              </w:rPr>
              <w:t>Suprafață recomandată</w:t>
            </w:r>
          </w:p>
        </w:tc>
        <w:tc>
          <w:tcPr>
            <w:tcW w:type="dxa" w:w="5100"/>
          </w:tcPr>
          <w:p>
            <w:r>
              <w:rPr>
                <w:rFonts w:ascii="Segoe UI" w:hAnsi="Segoe UI"/>
                <w:sz w:val="19"/>
              </w:rPr>
              <w:t>20,5 × 10,68 m</w:t>
            </w:r>
          </w:p>
        </w:tc>
      </w:tr>
      <w:tr>
        <w:tc>
          <w:tcPr>
            <w:tcW w:type="dxa" w:w="5100"/>
          </w:tcPr>
          <w:p>
            <w:r>
              <w:rPr>
                <w:rFonts w:ascii="Segoe UI" w:hAnsi="Segoe UI"/>
                <w:b/>
                <w:sz w:val="19"/>
              </w:rPr>
              <w:t>Echipamente</w:t>
            </w:r>
          </w:p>
        </w:tc>
        <w:tc>
          <w:tcPr>
            <w:tcW w:type="dxa" w:w="5100"/>
          </w:tcPr>
          <w:p>
            <w:r>
              <w:rPr>
                <w:rFonts w:ascii="Segoe UI" w:hAnsi="Segoe UI"/>
                <w:sz w:val="19"/>
              </w:rPr>
              <w:t>5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w:t>
      </w:r>
    </w:p>
    <w:p>
      <w:pPr>
        <w:jc w:val="center"/>
      </w:pPr>
      <w:r>
        <w:drawing>
          <wp:inline xmlns:a="http://schemas.openxmlformats.org/drawingml/2006/main" xmlns:pic="http://schemas.openxmlformats.org/drawingml/2006/picture">
            <wp:extent cx="4206240" cy="2846567"/>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2846567"/>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238x488x90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Rail drept</w:t>
      </w:r>
    </w:p>
    <w:p>
      <w:pPr>
        <w:jc w:val="center"/>
      </w:pPr>
      <w:r>
        <w:drawing>
          <wp:inline xmlns:a="http://schemas.openxmlformats.org/drawingml/2006/main" xmlns:pic="http://schemas.openxmlformats.org/drawingml/2006/picture">
            <wp:extent cx="4206240" cy="1933285"/>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193328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Grindbox 1 + Grindbox 5</w:t>
      </w:r>
    </w:p>
    <w:p>
      <w:pPr>
        <w:jc w:val="center"/>
      </w:pPr>
      <w:r>
        <w:drawing>
          <wp:inline xmlns:a="http://schemas.openxmlformats.org/drawingml/2006/main" xmlns:pic="http://schemas.openxmlformats.org/drawingml/2006/picture">
            <wp:extent cx="4206240" cy="2182483"/>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182483"/>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500x172x25/40/60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Ledge 1</w:t>
      </w:r>
    </w:p>
    <w:p>
      <w:pPr>
        <w:jc w:val="center"/>
      </w:pPr>
      <w:r>
        <w:drawing>
          <wp:inline xmlns:a="http://schemas.openxmlformats.org/drawingml/2006/main" xmlns:pic="http://schemas.openxmlformats.org/drawingml/2006/picture">
            <wp:extent cx="4206240" cy="2467522"/>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46752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250x30x40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Grindbox 12</w:t>
      </w:r>
    </w:p>
    <w:p>
      <w:pPr>
        <w:jc w:val="center"/>
      </w:pPr>
      <w:r>
        <w:drawing>
          <wp:inline xmlns:a="http://schemas.openxmlformats.org/drawingml/2006/main" xmlns:pic="http://schemas.openxmlformats.org/drawingml/2006/picture">
            <wp:extent cx="4206240" cy="2905760"/>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90576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488x240x65/90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Grindbox – element folosit pentru distracție și pentru învățarea de figuri noi. Un grindbox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7" name="Picture 7"/>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7" name="Picture 1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